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247 vom 2. März 2015</w:t>
      </w:r>
    </w:p>
    <w:p>
      <w:r>
        <w:t>VD Tribunal cantonal, 2015-03-02, FR</w:t>
      </w:r>
    </w:p>
    <w:p>
      <w:r>
        <w:rPr>
          <w:b/>
        </w:rPr>
        <w:t xml:space="preserve">Quelle: </w:t>
      </w:r>
      <w:r>
        <w:t>https://mcp.opencaselaw.ch/entscheid/vd_findinfo_Jug___2015___247</w:t>
      </w:r>
    </w:p>
    <w:p>
      <w:r>
        <w:t>FR: VD_FINDINFO Jug / 2015 / 247 du 2 mars 2015</w:t>
      </w:r>
    </w:p>
    <w:p>
      <w:r>
        <w:t>IT: VD_FINDINFO Jug / 2015 / 247 del 2 marzo 2015</w:t>
      </w:r>
    </w:p>
    <w:p>
      <w:pPr>
        <w:pStyle w:val="Heading2"/>
      </w:pPr>
      <w:r>
        <w:t>Regeste</w:t>
      </w:r>
    </w:p>
    <w:p>
      <w:r>
        <w:t>IN DUBIO PRO REO, FIXATION DE LA PEINE | 47 CP, 10 CPP (CH)</w:t>
      </w:r>
    </w:p>
    <w:p>
      <w:pPr>
        <w:pStyle w:val="Heading2"/>
      </w:pPr>
      <w:r>
        <w:t>Erwägungen</w:t>
      </w:r>
    </w:p>
    <w:p>
      <w:r>
        <w:rPr>
          <w:b/>
        </w:rPr>
        <w:t>E. 1</w:t>
      </w:r>
    </w:p>
    <w:p>
      <w:r>
        <w:t>Interjeté dans les formes et dans le délai légal par une partie ayant la qualité pour recourir contre le jugement d’un tribunal de première instance qui a clos la procédure (art. 398 al. 1 CPP), l’appel du prévenu est recevable.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conteste en premier lieu sa condamnation pour violence ou menace contre les autorités ou les fonctionnaires, fondée sur les faits décrits au ch. 2.3 ci-dessus. Il se prévaut de la présomption d'innocence.</w:t>
      </w:r>
    </w:p>
    <w:p>
      <w:r>
        <w:rPr>
          <w:b/>
        </w:rPr>
        <w:t>E. 3.2</w:t>
      </w:r>
    </w:p>
    <w:p>
      <w:r>
        <w:t>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 2c; TF 6B_831/2009 c.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 2a).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(Vianin, in : Kuhn/Jean­­­­neret [éd.], Commentaire romand, Code de procédure pénale suisse, Bâle 2011, n. 19 ad art. 398 CPP).</w:t>
      </w:r>
    </w:p>
    <w:p>
      <w:r>
        <w:rPr>
          <w:b/>
        </w:rPr>
        <w:t>E. 3.3</w:t>
      </w:r>
    </w:p>
    <w:p>
      <w:r>
        <w:t>En l'espèce, l'appelant conteste avoir tenté de mordre l'un des agents de police; il n'aurait pas non plus déclaré qu'il allait "crever" l'un d'eux; enfin, il aurait été mis au sol et frappé par l'un des agents de police au moyen d'un "poing américain". Tout d'abord, contrairement à ce que soutient l'appelant, on ne peut considérer que ses dénégations s'agissant des actes visés au ch. 2.3 revêtiraient d'emblée une certaine crédibilité en raison du fait qu'il admet les autres actes qui lui sont reprochés (ch. 2.1 et 2.2), ce d'autant que la matérialité de ces derniers n'est de toute manière guère contestable au vu du dossier. Force est de constater que l'appelant a multiplié les déclarations invraisemblables et contradictoires au cours de la procédure. Entendu par le Ministère public le jour des faits, il a admis avoir crié "C'est moi le voleur!" à la police, en tentant d'expliquer son attitude par le fait qu'il entendait s'en prendre physiquement à un tiers, lequel lui aurait volé des affaires. Interpellé par le Ministère public au sujet d'un hématome qu'il avait à l'œil droit, l'appelant a ensuite déclaré avoir été frappé, sans pouvoir expliquer de quelle manière; il a indiqué avoir été mis au sol, puis entravé aux jambes, mais ne s'est pas explicitement plaint du comportement des forces de police. Dans le courrier par lequel il a fait opposition à l'ordonnance pénale initialement rendue par le Ministère public (P. 7), il s'est longuement exprimé sur les faits, mais n'a nullement fait mention d'une quelconque violence policière. Enfin, à l'audience de première instance, il a cette fois soutenu qu'un agent, hors la présence de ses collègues, l'aurait frappé au moyen d'un poing américain. L'appelant a en outre tenté de soutenir que c'était lui qui avait sollicité l'intervention des forces de l'ordre, avant de se raviser et d'admettre que c'était bien la tenancière de l'établissement public où il se trouvait qui avait appelé la police. L'appréciation globale des déclarations de l'appelant ne peut que conduire à la conclusion que celui-ci n'est nullement crédible. Au contraire, les explications confuses de l'appelant devant le Ministère public corroborent la version des forces de police, lesquelles ont souligné l'état d'excitation extrême dans lequel se trouvait l'appelant lors de leur intervention (cf. P. 4). Enfin, les antécédents pénaux de l'appelant, qui a déjà fait l'objet de dix condamnations pénales, notamment pour menaces et rixe, confirment que l'intéressé est susceptible d'entretenir avec autrui les rapports agressifs décrits dans le rapport de dénonciation. En définitive, à la suite du Tribunal de police, la Cour de céans est convaincue que les faits se sont déroulés de la manière décrite par les forces de police. L'appelant soutient que des contradictions entre deux rapports de police des 26 mai (P. 4) et 12 juin 2014 (P. 9) mettraient en question la crédibilité des policiers impliqués. Ce grief ne convainc pas. Il apparaît tout d'abord que le second rapport porte exclusivement sur la saisie d'armes prohibées; il ne revient en revanche pas sur les faits de violence et de menaces sur agents évoqués dans le premier. Ensuite, on ne discerne aucune contradiction significative entre ces rapports; en particulier, on ne voit pas en quoi le fait qu'un tiers a déclaré que le poing américain saisi ne lui appartenait pas (P. 4) serait contradictoire avec le fait que la police est parvenue à la conclusion que cette arme appartenait en réalité à l'appelant (P. 9). Enfin, la discussion de ce point est sans rapport direct avec les faits de la cause, dans la mesure où il n'a été reproché à l'appelant ni de s'être servi d'une arme ni d'avoir commis une quelconque infraction à la LArm.</w:t>
      </w:r>
    </w:p>
    <w:p>
      <w:r>
        <w:rPr>
          <w:b/>
        </w:rPr>
        <w:t>E. 4.1</w:t>
      </w:r>
    </w:p>
    <w:p>
      <w:r>
        <w:t>L'appelant soutient également que la peine prononcée serait excessive. Il fait valoir que ses condamnations passées auraient essentiellement trait à des infractions à la LEtr et à des contraventions à la LStup. Il aurait en outre exprimé des remords et émis le souhait de mener une vie à l'écart de la délinquance.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4.3</w:t>
      </w:r>
    </w:p>
    <w:p>
      <w:r>
        <w:t>En l'espèce, le Tribunal de police a pris en compte adéquatement les éléments à charge et à décharge pour fixer la peine. Ainsi, s'agissant de l'infraction à la LEtr et de la contravention à la LStup, l'appelant a une nouvelle fois récidivé après avoir fait l'objet de plusieurs condamnations similaires, la première remontant à près de dix ans. En outre, s'il déclare avoir cessé toute consommation de produits illicites depuis le 16 mai 2014, l'appelant n'a semble-t-il pris aucune disposition s'agissant de sa situation de séjour en Suisse. L'infraction de violence ou menace contre les autorités ou les fonctionnaires revêt également un certain degré de gravité et, comme l'a à juste titre souligné le Tribunal de police, confirme que l'appelant est ancré dans la délinquance. En effet, contrairement à ce que celui-ci soutient, il a par le passé été condamné non seulement pour des infractions de police des étrangers ou à la législation sur les stupéfiants, mais également pour de nombreuses autres infractions portant sur toutes sortes de biens juridiques protégés. On relèvera notamment les condamnations pour vol, infraction à la LArm, remise de substances nocives à des enfants, actes d'ordre sexuel avec des enfants, menaces et rixe. Quant aux remords exprimés, on ne saurait leur accorder de crédit, compte tenu du fait que la présente condamnation constitue la onzième. Le caractère ferme de la peine prononcée n'est pas spécifiquement contesté par l'appelant. La Cour de céans peut se borner à constater qu'au vu des antécédents de l'intéressé, notamment de la condamnation du 12 novembre 2013 à 180 jours de peine privative de liberté, l'octroi du sursis ne peut entrer en considération qu'en cas de circonstances particulièrement favorables (cf. art. 42 al. 2 CP), lesquelles font manifestement défaut en l'espèce. De même, les antécédents de l'appelant conduisent à considérer qu'est seule adéquate la condamnation à une peine privative de liberté (cf. ATF 134 IV 97 c. 4.2; ATF 134 IV 82 c. 4.1). Au vu de ce qui précède, la peine prononcée par le Tribunal de police est adéquate et doit être confirmée.</w:t>
      </w:r>
    </w:p>
    <w:p>
      <w:r>
        <w:rPr>
          <w:b/>
        </w:rPr>
        <w:t>E. 5</w:t>
      </w:r>
    </w:p>
    <w:p>
      <w:r>
        <w:t>En définitive, l'appel du prévenu doit être rejeté et le jugement entrepris confirmé. Sur la base de la liste des opérations produites, l'indemnité allouée au défenseur d'office de l'appelant pour la procédure d'appel sera fixée à 1'738 fr. 80, montant qui correspond à l'indemnisation de cinq heures et trente minutes de travail d'avocat breveté, au tarif horaire de 180 fr., de trois heures de travail d'avocat-stagiaire, y compris la participation à l'audience d'appel, au tarif horaire de 110 fr., et de trois vacations, au tarif forfaitaire de 80 fr. par vacation, plus des débours forfaitaires, par 50 fr., et la TVA. Les frais de la procédure d'appel, par 3'238 fr. 80, constitués de l'émolument de jugement, par 1'500 fr. (art. 21 al. 1 et 2 TFIP [Tarif des frais de procédure et indemnités en matière pénale du 28 septembre 2010; RSV 312.03.1]), et de l'indemnité de défense d'office, par 1'738 fr. 80,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