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243 vom 25. Februar 2015</w:t>
      </w:r>
    </w:p>
    <w:p>
      <w:r>
        <w:t>VD Tribunal cantonal, 2015-02-25, FR</w:t>
      </w:r>
    </w:p>
    <w:p>
      <w:r>
        <w:rPr>
          <w:b/>
        </w:rPr>
        <w:t xml:space="preserve">Quelle: </w:t>
      </w:r>
      <w:r>
        <w:t>https://mcp.opencaselaw.ch/entscheid/vd_findinfo_Jug___2015___243</w:t>
      </w:r>
    </w:p>
    <w:p>
      <w:r>
        <w:t>FR: VD_FINDINFO Jug / 2015 / 243 du 25 février 2015</w:t>
      </w:r>
    </w:p>
    <w:p>
      <w:r>
        <w:t>IT: VD_FINDINFO Jug / 2015 / 243 del 25 febbraio 2015</w:t>
      </w:r>
    </w:p>
    <w:p>
      <w:pPr>
        <w:pStyle w:val="Heading2"/>
      </w:pPr>
      <w:r>
        <w:t>Regeste</w:t>
      </w:r>
    </w:p>
    <w:p>
      <w:r>
        <w:t>PRÉSOMPTION D'INNOCENCE, IN DUBIO PRO REO, FAUX MATÉRIEL DANS LES TITRES, FAUX INTELLECTUEL DANS LES TITRES | 251 ch. 1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Invoquant une violation de la présomption d’innocence, l’appelant conteste sa condamnation pour faux dans les titres. Il fait en particulier grief au premier juge d'avoir suivi le plaignant dans ses explications en retenant que "le prévenu a fait signer à P.________, en novembre 2011, la dernière page d'un prétendu nouvel exemplaire du contrat de travail sans lui avoir indiqué qu'il avait modifié le salaire horaire à 28 fr. 50" (jugt, p. 17).</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il est admis que le 15 juin 2011, les parties ont signé un contrat de travail prévoyant un salaire horaire brut de 34 fr., que ce contrat a été établi en un seul exemplaire (PV aud. 1, lignes 59, 89 et 90; jugt, p. 4), qu'en août 2011, D.________ a annoncé à la [...] un salaire horaire de 28 fr. 50 (pièces 18 et 19) et que le salaire versé pour les mois de juillet à octobre 2011 l'a été sur la base de ce montant (pièces 6/2 et 6/3 ; PV aud. 1, lignes 63 et 64). Il est également admis qu'un second contrat – également daté du 15 juin 2011 – a été signé par les deux parties, prévoyant un salaire horaire de 28 fr. 50 (pièce 6/5). Il ne s'agissait pas d'un duplicata (ou nouvel exemplaire) du contrat signé en juin 2011, comme l'a prétendu l'intimé et l'a retenu le premier juge, mais bel et bien d'un nouveau contrat. Il suffit de relever à cet égard que le montant du salaire et les signatures ne sont pas les mêmes. Ce qu'on ignore, en revanche, c'est la date à laquelle ce second contrat a été signé. Le prévenu a soutenu que la signature avait eu lieu le même jour que celle du premier contrat, après avoir, en présence de P.________, téléphoné à la [...] pour se renseigner sur le salaire usuellement versé à un manœuvre non qualifié  (PV aud. 1, lignes 53 à 58; jugt, p. 4). Ces explications ne sont toutefois pas crédibles, comme l'a également relevé le premier juge. Tout d'abord, on ne comprendrait pas que le plaignant soit parti avec un contrat fixant le salaire horaire à 34 fr. si les parties étaient finalement tombées d'accord pour un salaire de 28 fr. 50 de l'heure. En outre, le prévenu a varié dans ses explications dans une telle proportion qu'il en a perdu toute crédibilité sur ce point. En effet, pendant l'enquête, il a soutenu que l'unique exemplaire du premier contrat avait été subtilisé par le plaignant (PV aud 1, lignes 60 et 61), puis il a, aux débats de première instance, nié avoir signé un contrat prévoyant un salaire à 34 fr. de l'heure, avant de l'admettre tout en faisant valoir qu'il avait donné ce contrat à son employé et qu'il avait conservé pour lui le second contrat fixant le salaire horaire à 28 fr. 50, dont il aurait envoyé un exemplaire à la [...], ce que cette dernière n'a pas confirmé, la pièce 19 (fiche personnelle et de mutation) étant le seul document en sa possession (cf. pièce 18). Cela dit, la version du plaignant selon laquelle il aurait signé le second contrat en novembre 2011 et selon laquelle ce n'est qu'à son retour à domicile qu'il se serait demandé "s'[il] ne [s]'étai[t]pas fait avoir par D.________" (PV aud. 1, lignes 103 à 111) n'est guère plus crédible. Cette version se heurte aux explications ressortant de la plainte, dans laquelle l'intimé a admis avoir constaté la différence de salaire déjà au début septembre 2011, soit à réception du premier bulletin de salaire (pièce 5, p. 2 in initio ); on ne comprendrait pas, dans ces circonstances, et même dans l'hypothèse où il aurait effectivement cru, comme il le prétend, qu'il s'agissait d'un duplicata du contrat du 15 juin 2011, qu'il ait signé ce document sans vérifier le montant du salaire prévu ni même interpeller son employeur sur ce point pour le seul motif, selon ses dires, qu'il faisait confiance à ce dernier et que ce contrat portait la même date que le précédent. Au vu de tous ces éléments, il y a lieu de retenir que le second contrat fixant le salaire horaire à 28 fr. 50 a été signé postérieurement à l'établissement du premier contrat, sans que l'on puisse toutefois dire, comme l'a fait le premier juge, qu'il l'a été en novembre 2011. Il apparaît par ailleurs invraisemblable que le prévenu ait, selon ses explications, fait signer à son employé un duplicata du contrat en novembre 2011 car il en avait besoin pour ses dossiers (PV aud. 1, lignes 122), dans la mesure où il a ensuite lui-même affirmé que ce contrat avait d'emblée été établi en deux exemplaires et qu'il en avait gardé un pour lui (jugt, p. 4). Il n'est pas non plus crédible lorsqu'il affirme qu'il avait besoin d'un exemplaire pour sa caisse maladie et que celle-ci s'est finalement directement arrangée avec la [...] pour en obtenir une copie, dès lors que celle-ci n'a jamais reçu de contrat, comme on l'a vu ci-avant. On retiendra donc en définitive que les parties ont signé, en juin 2011, un contrat prévoyant un salaire à 34 fr. de l'heure, qu'après le départ du plaignant, le prévenu a eu des doutes quant au salaire normalement dû à un manœuvre non qualifié, qu'il a, en l'absence de son employé, appelé la [...], que celle-ci lui a répondu que le salaire usuel était de 26 fr., que se rendant compte d'avoir fixé un salaire trop élevé dans le contrat, le prévenu a annoncé un salaire plus bas à la [...] sans en parler au plaignant, qu'il a eu ensuite besoin d'un contrat justifiant cette annonce erronée et qu'il a fait signer, à une date indéterminée, mais postérieure à la signature du contrat, un autre contrat prévoyant un salaire horaire de 28 fr. 50. L'état de fait retenu par le premier juge doit ainsi être rectifié dans ce sens.</w:t>
      </w:r>
    </w:p>
    <w:p>
      <w:r>
        <w:rPr>
          <w:b/>
        </w:rPr>
        <w:t>E. 3.3</w:t>
      </w:r>
    </w:p>
    <w:p>
      <w:r>
        <w:t>Il reste à déterminer si, sur la base de l'état de fait ainsi rectifié, le comportement d'D.________ est constitutif d'un faux dans les titres.</w:t>
      </w:r>
    </w:p>
    <w:p>
      <w:r>
        <w:rPr>
          <w:b/>
        </w:rPr>
        <w:t>E. 3.3.1</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L’art. 251 CP vise le faux matériel et le faux intellectuel. Il y a faux matériel lorsqu'une personne fabrique un titre dont l'auteur réel ne coïncide pas avec l'auteur apparent. Le faussaire crée un titre qui trompe sur l'identité de celui dont il émane en réalité. En principe, il importe peu que le nom utilisé soit connu, appartienne à un tiers, soit fictif, que le faussaire se soit déjà fait connaître, avant la signature du titre, sous son faux nom auprès de la partie adverse ou qu'il le signe en présence de cette dernière. Lorsqu'il y a création d'un titre faux, il est alors sans importance de savoir si le contenu d'un tel titre est mensonger ou non (ATF 132 IV 57 c. 5.1.1 et les références citées). Le Tribunal fédéral a notamment jugé que la signature apposée à un contrat ou à un titre semblable devait permettre de retrouver sans difficulté les parties en cause au cas où le document en question devait être administré comme moyen de preuve dans le cadre, par exemple, d'une poursuite pour dettes ou d'un procès civil. Il a ainsi admis qu'il y avait faux dès qu'il y avait tromperie sur le nom et que l'ignorance de l'identité véritable de l'auteur du titre empêchait le cocontractant de faire valoir ses droits (TF 6B_243/2014 c. 4.3.2 et la référence à l'ATF 132 IV 57 c. 5.1.3 précité). Le faux intellectuel vise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(ATF 138 IV 130, JT 2013 IV 47 c. 2.1).</w:t>
      </w:r>
    </w:p>
    <w:p>
      <w:r>
        <w:rPr>
          <w:b/>
        </w:rPr>
        <w:t>E. 3.3.2</w:t>
      </w:r>
    </w:p>
    <w:p>
      <w:r>
        <w:t>En l'occurrence, on ne voit pas en quoi le second contrat, prévoyant un salaire horaire de 28 fr. 50, pourrait constituer un faux matériel. En effet, ce contrat n'a pas été falsifié, puisqu'il s'agissait d'un contrat distinct du premier. Aucun élément ne permet par ailleurs de dire qu'une page du contrat aurait été remplacée par une autre après signature, en d'autres termes que la signature visait un autre texte, qu'on aurait substitué par une manipulation du document. Il n'y a pas non plus faux intellectuel. Dès lors que l'on sait que le salaire de 28 fr. 50 de l'heure est celui qui avait été annoncé dès fin août 2011 à la [...] et que le plaignant était effectivement rémunéré à ce tarif horaire, ce dont il s'est rendu compte au plus tard dès réception du premier bulletin de salaire au début du mois de septembre 2011 (pièce 5, p. 2 in initio ), le second contrat prévoyant ce tarif horaire ne contient aucune déclaration mensongère. Le seul fait, pour le prévenu, d'avoir fait signer ce contrat à son employé "sans lui avoir indiqué qu'il avait modifié le salaire horaire à 28 fr. 50", comme l'a retenu le premier juge (jugt, p. 17), ne suffirait de toute manière pas à fonder une condamnation pour faux dans les titres intellectuel, dans la mesure où l'on ne peut pas exclure que le plaignant ait accepté le second contrat en connaissance de cause. Par ailleurs, dans l'hypothèse où le plaignant, selon sa propre version, aurait constaté la différence de salaire au début septembre 2011 et aurait signé le second contrat postérieurement, on pouvait exiger de lui qu'il vérifie, à ce moment-là, si le salaire fixé correspondait à celui initialement prévu (c. 3.3.1 supra ). Il s'ensuit qu'D.________ doit être libéré du chef d'accusation de faux dans les titres au sens de l'art. 251 CP.</w:t>
      </w:r>
    </w:p>
    <w:p>
      <w:r>
        <w:rPr>
          <w:b/>
        </w:rPr>
        <w:t>E. 4</w:t>
      </w:r>
    </w:p>
    <w:p>
      <w:r>
        <w:t>En définitive, l'appel doit être admis et D.________ purement et simplement acquitté, de sorte que la part de frais de première instance mise à sa charge doit être laissée à la charge de l'Etat.</w:t>
      </w:r>
    </w:p>
    <w:p>
      <w:r>
        <w:rPr>
          <w:b/>
        </w:rPr>
        <w:t>E. 4.1</w:t>
      </w:r>
    </w:p>
    <w:p>
      <w:r>
        <w:t>Conformément à ses conclusions, le prénommé, acquitté, a droit à une indemnité pour les dépenses occasionnées pour l'exercice raisonnable de ses droits de procédure en première instance (art. 429 al. 1 let. a CPP). Les défenseurs successifs du prévenu ont produit deux listes des opérations effectuées en première instance totalisant 22,25 heures. Ce chiffre est trop élevé. Plus particulièrement, le transfert du dossier entre deux avocats de la même étude ne peut justifier la comptabilisation par le second d'une heure pour la connaissance du dossier et il est injustifié de facturer systématiquement du temps pour les opérations consistant à envoyer à un tiers copie d'un courrier adressé à une partie ou au tribunal. A cela s'ajoute que le temps pour les déplacements doit être indemnisé forfaitairement à hauteur de 120 fr. par déplacement, selon la pratique constante de la Cour de céans. S’agissant dans le cas présent d’une cause de police relativement simple et compte tenu de l’ensemble des circonstances, il paraît adéquat de fixer l’indemnité due au prévenu sur la base d’un tarif horaire de 300 fr. (art. 26a TFIP [Tarif des frais de procédure et indemnités en matière pénale ; RSV 312.03.1]). Le montant de l’indemnité sera donc de 4'500 fr. correspondant à 15 heures au tarif horaire de 300 fr., montant auquel s’ajoutent 360 fr. de déplacements et 34 fr. de débours, soit un total de 4'894 francs. Cette indemnité sera mise par un quart, soit 1'223 fr., à la charge du plaignant en application de l'art. 432 al. 1 CPP et par trois quarts, soit 3'671 fr., à la charge de l'Etat. L'appelant n'ayant en revanche pas chiffré les dépens d'appel qu'il réclame (p. 4 supra ) – malgré l'invitation expresse à le faire mentionnée dans la citation à comparaître du 29 avril 2015 –, il n'y a pas matière à les allouer.</w:t>
      </w:r>
    </w:p>
    <w:p>
      <w:r>
        <w:rPr>
          <w:b/>
        </w:rPr>
        <w:t>E. 4.2</w:t>
      </w:r>
    </w:p>
    <w:p>
      <w:r>
        <w:t>Les frais de la procédure d'appel seront mis à la charge de l’intimé, qui, ayant conclu au rejet de l'appel, succombe (art. 428 al. 1 CPP). Outre l'émolument, ces frais comprennent l’indemnité allouée au conseil d’office du plaignant, qui, après réduction du temps d’audience estimé figurant sur la liste des opérations (pièce 52), doit être fixée à 1’620 fr. correspondant à 9 heures au tarif horaire de 180 fr., auxquels il y a lieu d’ajouter un montant forfaitaire de 120 fr. à titre de vacation, plus la TVA par 139 fr. 20, soit à un montant total de 1’879 fr. 20, les frais de photocopie et d’enveloppe faisant partie des frais généraux. P.________ ne sera tenu de rembourser à l’Etat l'indemnité allouée à son conseil d'office que lorsque sa situation financière le permettra (art. 135 al. 4 let. a CPP, applicable par renvoi de l'art.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