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233 vom 24. Juni 2015</w:t>
      </w:r>
    </w:p>
    <w:p>
      <w:r>
        <w:t>VD Tribunal cantonal, 2015-06-24, FR</w:t>
      </w:r>
    </w:p>
    <w:p>
      <w:r>
        <w:rPr>
          <w:b/>
        </w:rPr>
        <w:t xml:space="preserve">Quelle: </w:t>
      </w:r>
      <w:r>
        <w:t>https://mcp.opencaselaw.ch/entscheid/vd_findinfo_Jug___2015___233</w:t>
      </w:r>
    </w:p>
    <w:p>
      <w:r>
        <w:t>FR: VD_FINDINFO Jug / 2015 / 233 du 24 juin 2015</w:t>
      </w:r>
    </w:p>
    <w:p>
      <w:r>
        <w:t>IT: VD_FINDINFO Jug / 2015 / 233 del 24 giugno 2015</w:t>
      </w:r>
    </w:p>
    <w:p>
      <w:pPr>
        <w:pStyle w:val="Heading2"/>
      </w:pPr>
      <w:r>
        <w:t>Regeste</w:t>
      </w:r>
    </w:p>
    <w:p>
      <w:r>
        <w:t>DÉTENTION PROVISOIRE |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(let. a), qu’il compromette la recherche de la vérité en exerçant une influence sur des personnes ou en altérant des moyens de preuve ("risque de collusion") (let. b) ou qu’il compromette sérieusement la sécurité d’autrui par des crimes ou des délits graves après avoir déjà commis des infractions du même genre ("risque de réitération") (let. c).</w:t>
      </w:r>
    </w:p>
    <w:p>
      <w:r>
        <w:rPr>
          <w:b/>
        </w:rPr>
        <w:t>E. 2.2</w:t>
      </w:r>
    </w:p>
    <w:p>
      <w:r>
        <w:t>Le recourant fait valoir que "[...] S'il a admis avoir participé à plusieurs cambriolages", le nombre de cas pouvant lui être reprochés "[...] est bien en-deça du nombre articulé par le Ministère public [...]" dont la position ne reposerait d'ailleurs pas sur des [...] éléments de preuve concrets [...] et objectivement probants [...]" (recours, p. 2).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w:t>
      </w:r>
    </w:p>
    <w:p>
      <w:r>
        <w:rPr>
          <w:b/>
        </w:rPr>
        <w:t>E. 2.3</w:t>
      </w:r>
    </w:p>
    <w:p>
      <w:r>
        <w:t>En l'espèce, les soupçons pesant sur le recourant ressortent des écoutes téléphoniques, d'une mise en cause (cf. rapport de police du 3 mars 2015 P. 173), et de ses aveux partiels, Q.________ ayant admis avoir participé "à plusieurs cambriolages" et reconnu avoir travaillé sans autorisation (auditions des 12 septembre et 17 novembre 2014; recours p. 2). Cela est suffisant pour constater que les conditions de l'art. 221 al. 1 in initio CPP demeurent remplies.</w:t>
      </w:r>
    </w:p>
    <w:p>
      <w:r>
        <w:rPr>
          <w:b/>
        </w:rPr>
        <w:t>E. 3.1</w:t>
      </w:r>
    </w:p>
    <w:p>
      <w:r>
        <w:t>L'ordonnance attaquée retient également un risque de récidive et un risque de fuite.</w:t>
      </w:r>
    </w:p>
    <w:p>
      <w:r>
        <w:rPr>
          <w:b/>
        </w:rPr>
        <w:t>E. 3.2</w:t>
      </w:r>
    </w:p>
    <w:p>
      <w:r>
        <w:t>Le maintien en détention ne peut se justifier en raison d’un risque de réitération que si le pronostic est très défavorable et si les délits dont l'autorité redoute la réitération sont graves.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La prévention du risque de récidive doit permettre de faire prévaloir l'intérêt à la sécurité publique sur la liberté personnelle du prévenu (CREP 2 juin 2015/378 c. 3.1 et les références citées). En l'espèce, les infractions de cambriolage en bande et par métier dont l'intéressé est soupçonné constituent un délit grave au sens de l'art. 221 al. 1 let. c CPP (sur cette exigence, cf. ATF 137 IV 84, JT 2011 IV 325). En outre, le prévenu a déjà été condamné à quatre reprises d'avril 2011 à avril 2014 pour des infractions du même genre, et il vivrait dans la précarité s'il était libéré. Au vu de ces éléments, un risque de récidive demeure concret.</w:t>
      </w:r>
    </w:p>
    <w:p>
      <w:r>
        <w:rPr>
          <w:b/>
        </w:rPr>
        <w:t>E. 3.3</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In casu, les faits reprochés à Q.________, de même que son statut de ressortissant algérien sans emploi, sans autorisation de séjour et sans attache avec la Suisse, donnent à craindre que s'il était libéré, il quitterait la Suisse ou disparaitrait dans la clandestinité pour se soustraire à la procédure pénale. Le risque de fuite est donc toujours manifeste.</w:t>
      </w:r>
    </w:p>
    <w:p>
      <w:r>
        <w:rPr>
          <w:b/>
        </w:rPr>
        <w:t>E. 4.1</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(ATF133 I 270 c. 3.4.2).</w:t>
      </w:r>
    </w:p>
    <w:p>
      <w:r>
        <w:rPr>
          <w:b/>
        </w:rPr>
        <w:t>E. 4.2</w:t>
      </w:r>
    </w:p>
    <w:p>
      <w:r>
        <w:t>En l'espèce, le recourant soutient que le principe de la proportionnalité serait violé, au motif que la durée totale de la détention provisoire subie aurait déjà dépassé la durée de la peine encourue. Il est vrai qu'à l'issue de la durée maximale de la prolongation prononcée, le recourant aura subi un an de détention provisoire. Il ne faut toutefois pas perdre de vue que le recourant est prévenu de vol en bande et par métier (art. 139 al. 2 et 3 CP), de violation de domicile (art. 186 CP), de dommages à la propriété (art. 144 CP) et d'infraction à la Loi fédérale sur les étrangers. Au vu des antécédents du prévenu et du concours d'infractions (art. 49 al. 1 CP), le prévenu s'expose à une peine d'une durée supérieure à celle de la détention préventive subie à l'issue de la durée maximale de la prolongation prononcée. Cette prolongation est au demeurant nécessaire pour permettre les derniers actes d'instruction – la mise en prochaine clôture du dossier, la rédaction de l'acte d'accusation et le renvoi du prévenu en jugement –, comme pour prévenir les risques de récidive et de fuite retenus, qu'aucune mesure de substitution n'est à même de pallier efficacement (art. 237 al. 1 a contrario CPP).</w:t>
      </w:r>
    </w:p>
    <w:p>
      <w:r>
        <w:rPr>
          <w:b/>
        </w:rPr>
        <w:t>E. 5</w:t>
      </w:r>
    </w:p>
    <w:p>
      <w:r>
        <w:t>En définitive, le recours doit être rejeté sans autre échange d’écritures (art. 390 al. 2 CPP) et l'ordonnance du 8 juin 2015 confirmée. L’indemnité due au défenseur d’office du recourant sera fixée à 270 fr., plus la TVA, par 21 fr. 60, ce qui porte le montant alloué à 291 fr. 60.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8 juin 2015 est confirmée. III. L'indemnité allouée au défenseur d'office de Q.________ est fixée à 291 fr. 60 (deux cent nonante et un francs et soixante centimes). IV. L'émolument d'arrêt, par 880 fr. (huit cent huitante francs), ainsi que l’indemnité due au défenseur d’office de Q.________, par 291 fr. 60 (deux cent nonante et un francs et soixante centimes), sont mis à la charge de ce dernier. V. Le remboursement à l'Etat de l'indemnité allouée au chiffre III ci-dessus sera exigible pour autant que la situation économique de Q.________ se soit améliorée. VI. Le présent arrêt est exécutoire. Le président :               La greffière : Du Le présent arrêt, dont la rédaction a été approuvée à huis clos, est notifié, par l'envoi d'une copie complète, à : - M. Raphaël Tatti, avocat (pour Q.________),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