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230 vom 8. Januar 2015</w:t>
      </w:r>
    </w:p>
    <w:p>
      <w:r>
        <w:t>VD Tribunal cantonal, 2015-01-08, FR</w:t>
      </w:r>
    </w:p>
    <w:p>
      <w:r>
        <w:rPr>
          <w:b/>
        </w:rPr>
        <w:t xml:space="preserve">Quelle: </w:t>
      </w:r>
      <w:r>
        <w:t>https://mcp.opencaselaw.ch/entscheid/vd_findinfo_Jug___2015___230</w:t>
      </w:r>
    </w:p>
    <w:p>
      <w:r>
        <w:t>FR: VD_FINDINFO Jug / 2015 / 230 du 8 janvier 2015</w:t>
      </w:r>
    </w:p>
    <w:p>
      <w:r>
        <w:t>IT: VD_FINDINFO Jug / 2015 / 230 del 8 gennaio 2015</w:t>
      </w:r>
    </w:p>
    <w:p>
      <w:pPr>
        <w:pStyle w:val="Heading2"/>
      </w:pPr>
      <w:r>
        <w:t>Regeste</w:t>
      </w:r>
    </w:p>
    <w:p>
      <w:r>
        <w:t>FIXATION DE LA PEINE, SURSIS À L'EXÉCUTION DE LA PEINE, PEINE PÉCUNIAIRE | 41 CP, 42 CP, 47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w:t>
      </w:r>
    </w:p>
    <w:p>
      <w:r>
        <w:rPr>
          <w:b/>
        </w:rPr>
        <w:t>E. 3</w:t>
      </w:r>
    </w:p>
    <w:p>
      <w:r>
        <w:t>Le Ministère public conteste uniquement le genre de peine et l’octroi du sursis assorti d’une règle de conduite. Il considère qu'une peine privative de liberté ferme de 90 jours doit sanctionner les infractions de violence ou menace contre les autorités et les fonctionnaires et de séjour illégal, et qu'une peine pécuniaire de 30 jours-amende, à 20 fr. le jour, doit être prononcée seulement pour l'infraction d'injure.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w:t>
      </w:r>
    </w:p>
    <w:p>
      <w:r>
        <w:rPr>
          <w:b/>
        </w:rPr>
        <w:t>E. 3.2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 ATF 134 IV 1 c. 4.2.2).</w:t>
      </w:r>
    </w:p>
    <w:p>
      <w:r>
        <w:rPr>
          <w:b/>
        </w:rPr>
        <w:t>E. 3.3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deux conditions cumulatives. 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 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6B_102/2012 du 22 juin 2012 c. 2.1).</w:t>
      </w:r>
    </w:p>
    <w:p>
      <w:r>
        <w:rPr>
          <w:b/>
        </w:rPr>
        <w:t>E. 3.4.1</w:t>
      </w:r>
    </w:p>
    <w:p>
      <w:r>
        <w:t>En l'espèce, R.________ a des antécédents. Il a déjà été condamné en mars 2005 pour injure, utilisation abusive d'une installation de télécommunication et menaces à trois mois d'emprisonnement, en juin 2012 pour vol d'importance mineure, menaces, violation de domicile et séjour illégal à une peine pécuniaire de 180 jours-amende, à 30 fr. le jour, avec sursis pendant 4 ans et enfin en juillet 2014 pour séjour illégal à une peine privative de liberté de 40 jours. Il a ainsi récidivé dans le même domaine d’infractions (menaces et séjour illégal). S'agissant de la dernière condamnation, il y a toutefois lieu de relever que le prévenu en a pris connaissance seulement le 22 octobre 2014, soit après la commission des faits objets de la présente procédure, et qu’il n’a de la sorte pas exécuté cette peine. Devant le premier juge, le prévenu a reconnu les faits et n'a pas contesté leur qualification juridique. Il a présenté ses excuses, admettant que les policiers ne faisaient que leur travail. Il a toutefois demandé des explications à l’agent J.________ sur la manière dont il avait été plaqué au sol lors de son arrestation, ce qui relativise l'ampleur de sa prise de conscience. Par ailleurs, le prévenu est dépressif et sous traitement médicamenteux. Il était sous l'influence de l'alcool lors des faits litigieux (1.33 g‰). Selon un certificat médical établi par la Dresse [...] le 6 janvier 2015 (P. 22), il présente un état émotionnel labile avec état dépressif et une poly-dépendance à l'alcool et au cannabis. Selon son médecin, il peut se mettre dans des situations conflictuelles lorsqu'il est sous l'effet de substances psychoactives. A l’audience, il a expliqué être suivi depuis cinq ans à la Policlinique médicale universitaire (ci-après : PMU). Il était en particulier suivi par un nouveau médecin psychiatre depuis deux semaines et avait d’autres rendez-vous fixés. Compte tenu de sa condamnation de 2012, soit dans les cinq ans précédant les infractions commises le 21 octobre 2014, le sursis à l’exécution de la peine ne peut être accordé qu’en présence de circonstances particulièrement favorables (art. 42 al. 2 CP). Malgré les regrets exprimés qui démontrent une amorce de prise de conscience, et une prise en charge psychiatrique, R.________ a récidivé dans les mêmes domaines d'infractions, de sorte qu'on ne peut admettre l’existence de circonstances particulièrement favorables. Le sursis est donc exclu. Il s'ensuit que la règle de conduite consistant à poursuivre le suivi médical en cours auprès de la PMU à Lausanne n’a pas lieu d’être. Le chiffre VI du dispositif doit par conséquent être supprimé.</w:t>
      </w:r>
    </w:p>
    <w:p>
      <w:r>
        <w:rPr>
          <w:b/>
        </w:rPr>
        <w:t>E. 3.4.2</w:t>
      </w:r>
    </w:p>
    <w:p>
      <w:r>
        <w:t>S'agissant du genre de peine, il convient d’examiner si une peine pécuniaire est adéquate ou si une courte peine privative de liberté doit être prononcée (cf. art. 41 CP). Certes R.________ a clairement indiqué qu’il n’avait pas l’intention de quitter la Suisse et il a été précédemment condamné à des peines de détention. Toutefois, il vit en Suisse depuis 26 ans et si son permis de séjour n'a pas été renouvelé, c’est ensuite de son second divorce intervenu en 2005. On peut dès lors mieux comprendre qu'avec un tel parcours de vie, le prévenu soit réticent à retourner en Algérie, quand bien même il vit depuis cinq ans au centre EVAM et au bénéfice de l’aide d’urgence. Dans la mesure où une peine pécuniaire constitue une restriction au standard de vie du condamné, partant l’atteint dans son patrimoine et touche à ce qui lui est nécessaire pour vivre, elle apparaît être la sanction la plus efficace pour réprimer son comportement. Dans une optique de prévention, il faut admettre qu’une telle peine était adéquate, puisque la plus dissuasive pour R.________. Au vu de ce qui précède, il convient donc de confirmer la peine pécuniaire de 120 jours-amende prononcée par le premier juge pour l’ensemble des infractions. Le montant du jour-amende a été à juste titre fixé à 10 fr. au vu de la situation financière précaire du prévenu. Cette peine est complémentaire à la peine privative de liberté prononcée le 14 juillet 2014 par le Ministère public de l’arrondissement de Lausanne. Il n’y a pas lieu de condamner le prévenu à une amende de 150 fr. à titre de sanction immédiate au vu du refus de l’octroi du sursis. Le chiffre IV du dispositif doit ainsi être supprimé.</w:t>
      </w:r>
    </w:p>
    <w:p>
      <w:r>
        <w:rPr>
          <w:b/>
        </w:rPr>
        <w:t>E. 4</w:t>
      </w:r>
    </w:p>
    <w:p>
      <w:r>
        <w:t>Le chiffre I du dispositif, sans objet, doit également être supprimé.</w:t>
      </w:r>
    </w:p>
    <w:p>
      <w:r>
        <w:rPr>
          <w:b/>
        </w:rPr>
        <w:t>E. 5</w:t>
      </w:r>
    </w:p>
    <w:p>
      <w:r>
        <w:t>En définitive, l’appel du Ministère public doit être partiellement admis et le jugement du 8 janvier 2015 réformé dans le sens des considérants qui précèdent. Vu l'issue de la cause, les frais d'appel doivent être mis par moitié à la charge de R.________, le solde étant laissé à la charge de l'Etat (art. 428 al. 1 CPP). Outre l'émolument, qui se monte à 1'500 fr. (art. 21 al. 1 et 2 TFIP [Tarif des frais de procédure et indemnités en matière pénale du 28 septembre 2010; RSV 312.03.1]), ces frais comprennent l’indemnité allouée au défenseur d’office de R.________, par 1'822 fr. 50, TVA et débours inclus. R.________ ne sera tenu de rembourser à l’Etat la moitié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