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228 vom 11. März 2015</w:t>
      </w:r>
    </w:p>
    <w:p>
      <w:r>
        <w:t>VD Tribunal cantonal, 2015-03-11, FR</w:t>
      </w:r>
    </w:p>
    <w:p>
      <w:r>
        <w:rPr>
          <w:b/>
        </w:rPr>
        <w:t xml:space="preserve">Quelle: </w:t>
      </w:r>
      <w:r>
        <w:t>https://mcp.opencaselaw.ch/entscheid/vd_findinfo_Jug___2015___228</w:t>
      </w:r>
    </w:p>
    <w:p>
      <w:r>
        <w:t>FR: VD_FINDINFO Jug / 2015 / 228 du 11 mars 2015</w:t>
      </w:r>
    </w:p>
    <w:p>
      <w:r>
        <w:t>IT: VD_FINDINFO Jug / 2015 / 228 del 11 marzo 2015</w:t>
      </w:r>
    </w:p>
    <w:p>
      <w:pPr>
        <w:pStyle w:val="Heading2"/>
      </w:pPr>
      <w:r>
        <w:t>Regeste</w:t>
      </w:r>
    </w:p>
    <w:p>
      <w:r>
        <w:t>LOI FÉDÉRALE SUR LES STUPÉFIANTS ET LES SUBSTANCES PSYCHOTROPES, SÉJOUR ILLÉGAL, PEINE, DROIT DE GARDER LE SILENCE, IN DUBIO PRO REO | 40 CP, 47 CP, 49 CP, 51 CP, 69 CP, 70 CP, 19 al. 1 LStup, 19 ch. 2 LStup, 19 LStup, 115 al. 1 let. b LEtr, 115 LEtr, 236 CPP (CH), 398 al. 1 CPP (CH), 398 al. 2 CPP (CH), 398 al. 3 let. a CPP (CH),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E.________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3.1.1 L'appelant reproche aux premiers juges l'utilisation d'un certain nombre de qualificatifs tels que "haut placé dans l'organisation, délinquant chevronné, menteur patenté, retors et sans scrupules" (cf. jugement, p. 17), dont il soutient qu'ils ne reposeraient ni sur les faits établis, ni sur ceux mentionnés dans l'acte d'accusation. Les premiers juges auraient en outre, en violation de la présomption d'innocence, systématiquement écarté ses déclarations et se seraient mépris au sujet de son rôle dans le trafic de cocaïne incriminé. 3.1.2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(CAPE 6 mars 2015/35 c.3.2.2 et réf.). 3.1.3 En l'espèce, il résulte des développements opérés plus bas que le prévenu était bien le récipiendaire d'une livraison internationale de 610 grammes de cocaïne dont il savait qu'elle allait lui parvenir pour avoir été en contact avec le fournisseur en Espagne (PV aud. 13 et P. 83). Il résulte également des écoutes téléphoniques évoquées ci-dessus (cf. supra, p. 9), qu'il paraît expérimenté dans ce domaine. Les éléments au dossier ne permettent en revanche pas de retenir que E.________ aurait reçu d'autres livraisons – les écoutes téléphoniques ont été ordonnées sur la base de soupçons et non pas de faits avérés – ou qu'il ait été haut placé dans un vaste trafic de cocaïne. Il ressort, au contraire, des observations de la police (P. 83 p. 2) que les fournisseurs espagnols changeaient à chaque livraison le grossiste local chargé de réceptionner la drogue et la distribuer. En tout état de cause, les éléments au dossier permettent de retenir avec les premiers juges que le prévenu avait un rôle important dans le trafic de drogue incriminé.</w:t>
      </w:r>
    </w:p>
    <w:p>
      <w:r>
        <w:rPr>
          <w:b/>
        </w:rPr>
        <w:t>E. 3.2</w:t>
      </w:r>
    </w:p>
    <w:p>
      <w:r>
        <w:t>Dans un second grief, l'appelant soutient que le tribunal lui aurait reproché d'avoir fait valoir son droit au silence; il ajoute que cela lui aurait "coûté beaucoup en terme de préjugé des autorités à son égard " (mémoire p. 5). Le droit de se taire et de ne pas témoigner contre soi-même - droit consacré en termes explicites à l'art. 14 ch. 3 let. g Pacte ONU II - découle directement de la présomption d'innocence. La Cour européenne des droits de l'homme considère, elle, que ce droit fait partie des normes internationales généralement reconnues qui se trouvent au coeur de la notion de procès équitable, selon l'art. 6 par. 1 CEDH.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(CAPE 28 mai 2014/130 c. 4.1.1, et les références citées). En l'espèce, il y avait suffisamment d'éléments à charge dès l'ouverture d'enquête, – en particulier les écoutes téléphoniques et le flagrant délit –, pour qu'on puisse attendre de l'appelant qu'il s'explique autrement que par de simples dénégations. Quoi qu'il en soit, on ne saurait considérer, avec l'appelant, que son silence lui a coûté cher. Celui-ci ne démontre d'ailleurs pas en quoi tel aurait été le cas.</w:t>
      </w:r>
    </w:p>
    <w:p>
      <w:r>
        <w:rPr>
          <w:b/>
        </w:rPr>
        <w:t>E. 4.1</w:t>
      </w:r>
    </w:p>
    <w:p>
      <w:r>
        <w:t>Le tribunal a retenu que la mule, T.________, avait livré à E.________, "entrepositaire et chargé de la réception" (jugement p. 15), 610 grammes de cocaïne et que l'intéressé détenait en outre 130 grammes supplémentaire de cette marchandise dans l'appartement qu'il occupait à Lausanne. L'appelant conteste une grande partie des faits qui lui sont reprochés. Il prétend avoir vécu de ses économies et en revendant dans la rue de petites quantités de cocaïne. Il conteste avoir été le destinataire de la drogue. Il aurait ignoré que T.________ était une mule. Il l'aurait hébergé pour lui rendre service, c'est pourquoi T.________ se serait rendu chez lui par ses propres moyens. Le prévenu aurait été surpris de voir T.________ expulser de la drogue. Il lui aurait demandé s'adresser aux gens à qui cette substance était destinée (PV aud. 13, p. 2). T.________ et A.________ auraient confirmé sa version des faits (mémoire, p. 5). Or, on peut tenir pour constant, sur la base des déclarations constantes de T.________ et de la drogue découverte, que T.________ s'est rendu chez l'appelant selon les indications fournies par celui-ci, et qu'il y a expulsé sa marchandise (P. 83). Peu importe, dès lors, que E.________ soit allé ou non chercher T.________ à la gare. Ce qui résulte des auditions de T.________ et U.________ ainsi que des écoutes téléphoniques (P. 83), c'est que sur les 610 grammes livrés par T.________, 100 grammes étaient destinés à U.________ – qui venait d'en prendre livraison lors de l'intervention de la police – et 110 gr. l'étaient pour I.________ – qui allait en prendre livraison lorsque la police est intervenue –. Cela ne change toutefois rien au rôle de récipiendaire joué par l'appelant, qui était à cette fin en contact téléphonique direct avec le fournisseur en Espagne (P. 83). Dans ce contexte, l'appelant n'est pas crédible lorsqu'il prétend avoir ignoré que T.________ été truffé de cocaïne dès lors qu'il n'était qu'un petit trafiquant de rue. Enfin, les quantités déposées chez l'appelant sont importantes : 740 grammes (610 + 130) de cocaïne brute, selon le tribunal. Elles peuvent être confirmées au vu des déclarations de la mule et de la perquisition effectuée dans l'appartement du prévenu. Le fait que 6 des 13 fingers trouvés dans l'appartement aient été destinés à une revente par U.________ ne change rien au rôle d'entrepositaire de l'appelant. A titre de preuve complémentaire, l'appelant requiert l'audition de U.________, censée établir leur cohabitation et le fait que le prénommé se fournissait chez un autre grossiste. Le moyen est vain. Ces éléments ne permettent en effet pas d'infirmer les faits retenus ci-dessus. En outre, s'il est vrai que U.________ a admis en cours d'enquête s'être fourni ailleurs que c'est l'appelant, il n'en demeure pas mois que c'est l'ADN de ce dernier qui a été retrouvé sur les fingers concernés (P. 83, p. 6). Pour sa défense toujours, l'intéressé souhaite faire entendre A.________, afin qu'il s'explique au sujet des rôles joués par les uns et les autres dans le trafic incriminé. Or, une confrontation en présence des avocats a déjà été organisée (PV aud. 15). S'agissant de ce protagoniste, on sait par le dossier qu'il a été condamné séparément pour avoir notamment fourni 260 grammes de cocaïne à T.________, soit une partie au moins des 610 grammes que cette mule a reconnu avoir transportés. Une nouvelle audition de A.________ n'apporterait aucun élément nouveau.</w:t>
      </w:r>
    </w:p>
    <w:p>
      <w:r>
        <w:rPr>
          <w:b/>
        </w:rPr>
        <w:t>E. 4.2</w:t>
      </w:r>
    </w:p>
    <w:p>
      <w:r>
        <w:t>En définitive, l'appréciation des premiers juges est conforme au principe in dubio pro reo. Pour le reste, les éléments recueillis durant l’enquête suffisent amplement à l’incrimination pénale de l'intéressé. Le jugement entrepris n'est donc pas critiquable sur ces points.</w:t>
      </w:r>
    </w:p>
    <w:p>
      <w:r>
        <w:rPr>
          <w:b/>
        </w:rPr>
        <w:t>E. 5.1</w:t>
      </w:r>
    </w:p>
    <w:p>
      <w:r>
        <w:t>E.________ s'en prend encore à la peine prononcée à son encontre, qu'il juge trop lourde. Il plaide qu'il n'a été que l'hébergeur de la mule et le récipiendaire de la drogue et considère qu'il faut en tenir compte pour fixer sa peine. A son dire, tel n'aurait pas été le raisonnement des premiers juges qui l'auraient injustement puni plus sévèrement que T.________, sans considérer que ce dernier faisait la mule et le revendeur.</w:t>
      </w:r>
    </w:p>
    <w:p>
      <w:r>
        <w:rPr>
          <w:b/>
        </w:rPr>
        <w:t>E. 5.2</w:t>
      </w:r>
    </w:p>
    <w:p>
      <w:r>
        <w:t>L'art. 47 al. 1 CP, applicable en matière d’infractions à la LStup par renvoi de l’art. 26 LStup,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 19 s.).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La quantité de drogue est un élément d’appréciation important mais toutefois pas prépondérant. Elle perd cependant de l'importance au fur et à mesure que l'on s'éloigne de la limite à partir de laquelle le cas doit être considéré comme grave au sens de l'art. 19 ch. 2 let. a LStup. Ainsi, lorsque le prévenu est un trafiquant qui n'est pas dépendant de la drogue, il s'agit de se baser en premier lieu non pas sur la quantité de drogue vendue, mais sur la position de l'individu dans le réseau de distribution.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(CAPE 6 mars 2015/35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 ATF 118 IV 342 c. 2d ; TF 6B_85/2013 du 4 mars 2013 c. 3.1 et les références citées). Le Tribunal fédéral considère que la comparaison d’un cas d’espèce avec des affaires qui concernent d’autres accusés ou qui portent sur des faits différents est d'emblée délicate, et qu’il ne suffit pas à l’accusé de citer un ou deux cas pour lesquels une peine particulièrement clémente aurait été fixée pour prétendre avoir droit à une égalité de traitement (ATF 123 IV 49 c. 2 ; ATF 120 IV 136 c. 3a ; TF 6B_334/2009 du 20 juillet 2009 c. 2.3.1). En effet, de nombreux paramètres interviennent dans la fixation de la peine et les disparités de sanction en cette matière s’expliquent normalement par le principe de l’individualisation de la peine, voulue par le législateur. Ce n’est que si le résultat auquel le juge est parvenu apparaît vraiment choquant, compte tenu notamment des arguments invoqués et des cas examinés par la jurisprudence, que l’on peut alors parler d’un véritable abus du pouvoir d’appréciation (ATF 123 IV 49 ; TF 6B_33412 909 du 20 juillet 2007 c. 2.3.2 ; Dupuis et al., Petit commentaire du Code pénal, Bâle 2012, n. 2a ad art. 47 CP ; Favre, Pellet, Stoudmann, Code pénal annoté, Lausanne 2011, n. 1.12 ad art. 47 CP).</w:t>
      </w:r>
    </w:p>
    <w:p>
      <w:r>
        <w:rPr>
          <w:b/>
        </w:rPr>
        <w:t>E. 5.3</w:t>
      </w:r>
    </w:p>
    <w:p>
      <w:r>
        <w:t>En l'espèce, on retiendra, à la charge du prévenu, qu'il est venu illégalement en Suisse, a sous-loué un appartement sous un faux nom et a réceptionné une importante quantité de drogue venant d'Espagne, quantité qui s'ajoutait à celle se trouvant déjà dans son appartement. En tant qu'entrepositaire de 740 grammes de cocaïne brute, soit 200 gr de drogue pure – plusieurs fois le cas grave (ATF 119 IV 180 c. 2d) –, E.________ a joué le rôle d’un grossiste dans le cadre d'un trafic international de stupéfiants. Sa culpabilité est lourde; peu importe et qu'il ait ou non contribué à la distribution de cette drogue aux deux premiers semi-grossistes qu'étaient U.________ et I.________. Il n'y a pas d'élément à décharge, l'intéressé ayant persisté à nier les faits, à tenter de brouiller les pistes et à minimiser son comportement, ce qui démontre qu'il n'a pas pris conscience de la gravité de ses actes. Vu ce qui précède, la peine infligée en première instance est adéquate et doit être confirmée. Enfin, contrairement à ce que soutient l'appelant, la peine infligée à T.________ ne viole pas l'art. 47 CP et les dispositions ci-dessus (cf. supra, c. 5.2). A juste titre, les premiers juges ont considéré que T.________ avait pris des risques pour sa santé en fonctionnant comme mule et qu'il avait bien collaboré avec la justice. Cela étant, le raisonnement comparatif auquel s'est livré l'intéressé pour tenter d'obtenir une réduction de sa peine ne lui est d'aucun secours.</w:t>
      </w:r>
    </w:p>
    <w:p>
      <w:r>
        <w:rPr>
          <w:b/>
        </w:rPr>
        <w:t>E. 6</w:t>
      </w:r>
    </w:p>
    <w:p>
      <w:r>
        <w:t>En définitive, l'appel de E.________ doit être rejeté, ce qui entraîne la confirmation du jugement entrepris.</w:t>
      </w:r>
    </w:p>
    <w:p>
      <w:r>
        <w:rPr>
          <w:b/>
        </w:rPr>
        <w:t>E. 7</w:t>
      </w:r>
    </w:p>
    <w:p>
      <w:r>
        <w:t>Me Eric Stauffacher, défenseur d'office de E.________ a requis, pour la procédure d'appel, 10 heures à 180 fr., audience incluse, plus la TVA. Cette prétention est justifiée compte tenu de l'ampleur de l'affaire et de la connaissance du dossier déjà acquise en première instance, et il convient de lui allouer un montant de 1'944 fr. à ce titre. E.________ ne sera tenu de rembourser à l'Etat l'indemnité d'office accordée à son mandataire que lorsque sa situation financière le permettra. Vu le sort de l'appel, les frais de seconde instance, par 3'664 fr., y compris l'indemnité d'office due à son défenseur, par 1944 fr., sont mis à la charge du prévenu,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