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220 vom 12. Februar 2015</w:t>
      </w:r>
    </w:p>
    <w:p>
      <w:r>
        <w:t>VD Tribunal cantonal, 2015-02-12, FR</w:t>
      </w:r>
    </w:p>
    <w:p>
      <w:r>
        <w:rPr>
          <w:b/>
        </w:rPr>
        <w:t xml:space="preserve">Quelle: </w:t>
      </w:r>
      <w:r>
        <w:t>https://mcp.opencaselaw.ch/entscheid/vd_findinfo_Jug___2015___220</w:t>
      </w:r>
    </w:p>
    <w:p>
      <w:r>
        <w:t>FR: VD_FINDINFO Jug / 2015 / 220 du 12 février 2015</w:t>
      </w:r>
    </w:p>
    <w:p>
      <w:r>
        <w:t>IT: VD_FINDINFO Jug / 2015 / 220 del 12 febbraio 2015</w:t>
      </w:r>
    </w:p>
    <w:p>
      <w:pPr>
        <w:pStyle w:val="Heading2"/>
      </w:pPr>
      <w:r>
        <w:t>Regeste</w:t>
      </w:r>
    </w:p>
    <w:p>
      <w:r>
        <w:t>PRINCIPE DE L'ACCUSATION, LOI FÉDÉRALE SUR LES STUPÉFIANTS ET LES SUBSTANCES PSYCHOTROPES, SÉJOUR ILLÉGAL, BLANCHIMENT D'ARGENT, FIXATION DE LA PEINE | 47 CP, 19 LStup, 115 LEtr, 10 CPP (CH), 9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Y.________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invoque tout d’abord une violation de la présomption d’innocence. Les premiers juges auraient motivé sa condamnation pour infraction grave à la loi sur les stupéfiants de manière insuffisante, en se fondant sur la condamnation de O.________ et sur un rapport de police, éléments qui ne démontreraient pas son implication dans un trafic de stupéfiants allant au-delà de ce qu’il a admis. Une modification de la date concernant la livraison d’une autre quantité de drogue par U.________ et R.________ constituerait en outre une violation de la maxime d’accusation.</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 2a; ATF 120 IV 348 c.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 1.1).</w:t>
      </w:r>
    </w:p>
    <w:p>
      <w:r>
        <w:rPr>
          <w:b/>
        </w:rPr>
        <w:t>E. 3.1.2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s’il est vrai que la motivation des premiers juges concernant l’infraction grave à la loi sur les stupéfiants retenue à la charge de l’appelant est lapidaire, elle ne repose pas seulement sur les éléments exposés dans la déclaration d’appel. Les premiers juges ont en effet également relevé les nombreuses conversations téléphoniques avec les fournisseurs, les récipiendaires et les revendeurs de cocaïne, ainsi que la nature des conversations (jgt., p. 13). L’examen du rapport d’investigation le confirme (P. 56/1). lI faut donc observer, à titre de motivation complémentaire, que l’exploitation des écoutes téléphoniques sur les numéros de portables attribués à l’appelant permet de retenir qu’il a été régulièrement en contact avec plusieurs fournisseurs de cocaïne agissant en Suisse et à l’étranger (P. 56/1, pp. 6 à 37). Ces conversations démontrent que l’appelant recevait soit des livraisons spécifiques qui lui étaient destinées, soit profitait de l’arrivage en Suisse d’une quantité plus importante de drogue, dont il en acquérait une partie. En outre, une partie des conversations interceptées permet de déterminer des transactions spécifiques avec les trafiquants W.________, L.________, U.________ et R.________. De plus, et contrairement aux dénégations du fournisseur dont se prévaut l’appelant, il est établi que ce dernier était en relation avec le trafiquant O.________. Les enquêteurs ont ainsi découvert que l’appelant avait envoyé de l’argent à plusieurs reprises à celui-ci par le biais de sociétés de transfert d’argent entre janvier et juin 2013, soit à la période des transactions de drogue entre eux (P. 36/3, 46 et 47). Enfin, les aveux très partiels de l’appelant démontrent que les liens mis en exergue par les écoutes téléphoniques correspondent bien à des contacts dans le domaine du trafic de drogue. L’ensemble de ces preuves emporte la conviction que les faits à l’origine de la condamnation de l’appelant pour infraction grave à la loi sur les stupéfiants sont établis à satisfaction et on ne discerne dès lors aucune violation de la présomption d’innocence. Par ailleurs, il est sans importance, s’agissant du contenu formel de l’acte d’accusation, de savoir si la transaction de drogue intervenue avec U.________ et R.________ a eu lieu le 3 ou le 13 novembre 2013, l’appelant ne prétendant pas, et pour cause, ne pas avoir su précisément ce qui lui était reproché à cet égard. La date exacte de la transaction de drogue n’a dès lors aucune incidence et il n’y a aucune violation de la maxime d’accusation.</w:t>
      </w:r>
    </w:p>
    <w:p>
      <w:r>
        <w:rPr>
          <w:b/>
        </w:rPr>
        <w:t>E. 4</w:t>
      </w:r>
    </w:p>
    <w:p>
      <w:r>
        <w:t>L’appelant conteste également sa condamnation pour blanchiment d’argent, invoquant à nouveau une violation de la présomption d’innocence. En l'espèce, la condamnation de l’appelant repose ici sur de nombreuses preuves. D’abord les enquêteurs ont découvert plusieurs intermédiaires financiers qui ont assuré des transferts d’argent remis par l’appelant (P. 33, 36/3, 38, 46 et 47). Ensuite et quoi qu’il en dise, il a été incapable d’indiquer de quelle manière il aurait obtenu licitement des montants aussi importants. L’origine délictueuse de l’argent est ainsi établie et repose à l’évidence sur le trafic de stupéfiants. C’est donc à bon droit que les premiers juges ont retenu que les sommes récoltées étaient parfaitement compatibles avec les bénéfices issus du trafic de cocaïne. La condamnation de Y.________ pour blanchiment d’argent doit par conséquent être confirmée.</w:t>
      </w:r>
    </w:p>
    <w:p>
      <w:r>
        <w:rPr>
          <w:b/>
        </w:rPr>
        <w:t>E. 5</w:t>
      </w:r>
    </w:p>
    <w:p>
      <w:r>
        <w:t>L’appelant soutient encore qu’il n’a pas commis d’infraction à la loi sur les étrangers, dès lors que durant la période de sa présence en Suisse, soit entre décembre 2012 et octobre 2013, il serait rentré régulièrement en Espagne.</w:t>
      </w:r>
    </w:p>
    <w:p>
      <w:r>
        <w:rPr>
          <w:b/>
        </w:rPr>
        <w:t>E. 5.1</w:t>
      </w:r>
    </w:p>
    <w:p>
      <w:r>
        <w:t>L’art. 115 al. 1 LEtr (Loi fédérale sur les étrangers; RS 142.20) punit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et 9 OASA [Ordonnance relative à l’admission, au séjour et à l’exercice d’une activité lucrative; RS 142.201]).</w:t>
      </w:r>
    </w:p>
    <w:p>
      <w:r>
        <w:rPr>
          <w:b/>
        </w:rPr>
        <w:t>E. 5.2</w:t>
      </w:r>
    </w:p>
    <w:p>
      <w:r>
        <w:t>En l'espèce, les premiers juges ont retenu que, compte tenu de la durée totale du séjour, l’appelant avait résidé en Suisse au-delà de la durée autorisée. Entendu à l’audience sur cette question, l’appelant a indiqué qu’il était venu en Suisse chercher du travail (jgt., p. 3). Cette seule circonstance rend l’entrée dans le pays illicite en vertu de l’art. 115 al. 1 let. a LEtr qui renvoie à l’art. 5 de cette loi. En outre, interrogé le 15 novembre 2013, le témoin [...] a formellement identifié l’appelant comme étant la personne qui vivait dans son appartement depuis le mois de juillet 2013 (PV aud. 2, p. 2 s.). La chronologie des écoutes téléphoniques montre du reste une activité en matière de trafic de stupéfiants ininterrompue entre les 20 juillet et 11 novembre 2013 (P. 56/1, pp. 6 à 37). Partant, c’est à juste à juste titre que les premiers juges ont retenu que le séjour de l’intéressé excédait la durée autorisée et violait la loi fédérale sur les étrangers.</w:t>
      </w:r>
    </w:p>
    <w:p>
      <w:r>
        <w:rPr>
          <w:b/>
        </w:rPr>
        <w:t>E. 6</w:t>
      </w:r>
    </w:p>
    <w:p>
      <w:r>
        <w:t>L’appelant conteste la peine qui lui a été infligée, en faisant valoir qu’elle est trop sévère. Selon lui, les premiers juges auraient retenu une activité délictueuse plus importante que celle établie judiciairement, n’auraient pas suffisamment tenu compte de l’absence d’antécédents et des regrets exprimés, alors qu’ils auraient pris en compte à tort les dénégations.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6.1.2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let. a LStup (cf.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 3.1 ; TF 6B_265/2010 du 13 août 2010 c.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6B_85/2013 du 4 mars 2013 c. 3.1 et les références citées).</w:t>
      </w:r>
    </w:p>
    <w:p>
      <w:r>
        <w:rPr>
          <w:b/>
        </w:rPr>
        <w:t>E. 6.2</w:t>
      </w:r>
    </w:p>
    <w:p>
      <w:r>
        <w:t>Au moment de fixer la peine, les premiers juges ont d’abord pris en considération le rôle prépondérant qu’a joué l’appelant dans le trafic de cocaïne. Ses activités de grossiste à l’échelon régional et international traduisent une lourde culpabilité. Contrairement à ce que soutient l’appelant, le tribunal de première instance a tenu compte de sa collaboration, qualifiée à juste titre d’extrêmement limitée. L’essentiel des accusations demeure en effet contesté et la version présentée à l’autorité judiciaire traduit également une prise de conscience très limitée. Les premiers juges ont donc retenu à juste titre à charge les dénégations de l’appelant. L’absence de condamnation antérieure a un effet neutre. Quant à l’indication que seule une partie de l’activité délictuelle a été mise à jour (jgt., p. 13), elle ne signifie pas encore que l’appelant a été condamné pour d’autres faits, mais confirme simplement l’intensité de l’activité délictueuse, les enquêteurs ayant constaté que de nombreuses écoutes révélant des contacts avec d’autres trafiquants n’avaient pas pu être mis en corrélation avec une transaction de drogue déterminée. Au vu des éléments qui précédent, de la culpabilité de l’appelant et de sa situation personnelle, la peine privative de liberté de 54 mois prononcée par les premiers juges est adéquate et doit être confirmée, ce qui exclu l’octroi d’un sursis, même partiel (art. 42 et 43 CP).</w:t>
      </w:r>
    </w:p>
    <w:p>
      <w:r>
        <w:rPr>
          <w:b/>
        </w:rPr>
        <w:t>E. 7</w:t>
      </w:r>
    </w:p>
    <w:p>
      <w:r>
        <w:t>En définitive, l'appel de Y.________ doit être rejeté et le jugement attaqué confirmé. Vu l'issue de la cause, les frais d'appel doivent être mis à la charge de Y.________ (art. 428 al. 1 CPP). Outre l'émolument, qui se monte à 1’720 fr. (art. 21 al. 1 et 2 TFIP [Tarif des frais de procédure et indemnités en matière pénale du 28 septembre 2010; RSV 312.03.1]), ces frais comprennent l’indemnité allouée au défenseur d’office de Y.________, par 2’114 fr. 65, TVA et débours inclus. Y.________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