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219 vom 20. Januar 2015</w:t>
      </w:r>
    </w:p>
    <w:p>
      <w:r>
        <w:t>VD Tribunal cantonal, 2015-01-20, FR</w:t>
      </w:r>
    </w:p>
    <w:p>
      <w:r>
        <w:rPr>
          <w:b/>
        </w:rPr>
        <w:t xml:space="preserve">Quelle: </w:t>
      </w:r>
      <w:r>
        <w:t>https://mcp.opencaselaw.ch/entscheid/vd_findinfo_Jug___2015___219</w:t>
      </w:r>
    </w:p>
    <w:p>
      <w:r>
        <w:t>FR: VD_FINDINFO Jug / 2015 / 219 du 20 janvier 2015</w:t>
      </w:r>
    </w:p>
    <w:p>
      <w:r>
        <w:t>IT: VD_FINDINFO Jug / 2015 / 219 del 20 gennaio 2015</w:t>
      </w:r>
    </w:p>
    <w:p>
      <w:pPr>
        <w:pStyle w:val="Heading2"/>
      </w:pPr>
      <w:r>
        <w:t>Regeste</w:t>
      </w:r>
    </w:p>
    <w:p>
      <w:r>
        <w:t>PRÉSOMPTION D'INNOCENCE, IN DUBIO PRO REO, FIXATION DE LA PEINE, PEINE PRIVATIVE DE LIBERTÉ, RÉPARTITION DES FRAIS | 41 al. 1 CP, 47 CP, 10 CPP (CH), 418 al. 1 CPP (CH),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du jugement (c. 2.1 supra ). Invoquant une violation de la présomption d’innocence, il conteste en revanche, dans ce dernier cas, avoir vendu de l’héroïne à R.________ et, partant, sa condamnation pour infraction à la LStup au sens de l’art. 19 al. 1 let. c de cette loi. Il soutient que le premier juge l’a condamné en l’absence de toute preuve ou indice. En particulier, les déclarations de R.________ n’auraient aucune valeur probante, car il serait démontré que celui-ci avait menti sur plusieurs faits.</w:t>
      </w:r>
    </w:p>
    <w:p>
      <w:r>
        <w:rPr>
          <w:b/>
        </w:rPr>
        <w:t>E. 3</w:t>
      </w:r>
    </w:p>
    <w:p>
      <w:r>
        <w:t>J.________ ne remet en cause ni les faits décrits sous chiffre 2.3 du jugement attaqué et repris au considérant 2.2 ci-avant, ni leur qualification, ni sa condamnation pour contravention à la LStup en relation avec les faits décrit sous chiffre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le Tribunal de police a tout d’abord retenu que les déclarations de R.________ selon lesquelles J.________ lui aurait vendu de l’héroïne pendant deux ans et jusqu’au 25 septembre 2013 étaient plus crédibles que les dénégations de ce dernier à cet égard (jugt, p. 15). Cette appréciation n’est pas critiquable. En effet, l’appelant, qui est apparu agacé par la question de savoir s’il avait fourni de l’héroïne à son coprévenu (PV aud. 3, R. 8), a varié dans ses affirmations concernant sa consommation de drogue dès sa première audition, prétendant dans un premier temps avoir cessé toute consommation depuis janvier 2013, avant de préciser qu’il avait consommé de la drogue encore récemment, pour finalement admettre, juste après avoir été informé qu’une perquisition aurait eu lieu à son domicile, qu’il y avait 15 grammes d’héroïne chez lui et qu’il avait fait « deux sniffées » la veille de l’audition (PV aud. 3, R. 10 et 11). A l’inverse, son coprévenu a été constant dans ses explications tant en ce qui concerne sa consommation que s’agissant de l’origine de la drogue, indiquant avoir, durant la période susmentionnée, acheté occasionnellement de la drogue à J.________ au prix de 20 fr. le paquet (PV aud. 2, R. 11 ; PV aud. 4, lignes 162 ss). Or, on ne voit pas quel intérêt avait R.________ à charger mensongèrement l’appelant, qu’il a décrit comme un « ami de consommation » (PV aud. 4, ligne 184) ; il n’a d’ailleurs pas exagéré les faits sur ce point, puisqu’il a lui-même précisé que son ami lui avait fourni de la drogue uniquement « de temps en temps » (jugt, p. 6). A cela s’ajoute qu’il a pu donner des détails convaincants notamment quant au prix de la drogue et à l’endroit où la vente avait lieu (PV aud. 2, R. 11). C’est donc à juste titre que le premier juge a retenu que la version donnée par R.________ emportait la conviction. Les dénégations de ce dernier par rapport au cambriolage de l’appartement de l’appelant et au vol de son porte-monnaie – relevées dans l’appel (p. 3) – ne changent rien à ce constat, s’agissant d’un litige postérieur à la période de consommation commune. Par ailleurs, le tribunal de première instance n’a pas seulement pris en considération l’incrimination du coprévenu, mais il a également relevé que c’est dans ce contexte de vente d’héroïne de l’un à l’autre qu’il fallait comprendre l’origine de leurs disputes et les motifs qui avaient poussé R.________ à cambrioler l’appartement de l’appelant. Cette appréciation est correcte. Le prénommé, tout en contestant être l’auteur de ce cambriolage, a en effet lui-même admis que J.________ avait pu penser qu’il était allé chez lui « pour [s]e servir [lui]-même » sous-entendu de la drogue (PV aud. 4, ligne 151) ; d’ailleurs, ce dernier a indiqué que R.________ lui avait volé, en sus de son porte-monnaie, également un sachet contenant 5 grammes d’héroïne (PV aud. 3, R. 7). On peut encore ajouter qu’il est pour le moins curieux que l’appelant, toxicomane sans activité lucrative et dont la situation financière est fortement obérée (jugt, p. 13), conserve à son domicile plusieurs milliers de francs en espèce, alors que le gain effectué à la loterie d’un montant de 4’004 fr., d’où proviendrait cet argent, a été versé sur son compte bancaire le 10 septembre 2013 (piève 19/3). Tout indique donc qu’il utilisait, à une époque où il avait, selon ses dires, cessé toute consommation, d’importantes sommes d’argent pour l’acquisition de stupéfiants qu’il revendait en partie en tout cas, étant précisé encore qu’il a déjà été condamné dans un passé récent pour infraction à la LStup. Enfin, il a clairement reconnu qu’il lui était arrivé de consommer de l’héroïne à son domicile avec le coprévenu (jugt, p. 8), ce que celui-ci a confirmé. Dans ce cas, il est très peu vraisemblable que R.________ se soit rendu chez l’appelant avec sa drogue et que chacun ait consommé sa propre dose d’héroïne ; il apparaît plutôt vraisemblable, dans l’hypothèse où, à ces occasions, l’appelant ne lui aurait pas vendu de la drogue, comme il l’a dit, qu’il lui en ait à tout le moins remise pour qu’ils consomment ensemble, ce qui suffirait à retenir l’infraction à l’art. 19 al. 1 let. c LStup (ATF 119 IV 183). Ainsi, sur la base de ce qui précède, le premier juge n’a pas violé la présomption d’innocence en condamnant J.________ pour infraction à la LStup, la mise en cause du coprévenu étant corroborée par d’autres éléments du dossier, comme on l’a vu. Le moyen est mal fondé et doit donc être rejeté.</w:t>
      </w:r>
    </w:p>
    <w:p>
      <w:r>
        <w:rPr>
          <w:b/>
        </w:rPr>
        <w:t>E. 4</w:t>
      </w:r>
    </w:p>
    <w:p>
      <w:r>
        <w:t>J.________ conteste également avoir dérobé au Café Restaurant Q.________ une partie du butin retenu dans le jugement de première instance, soit une bourse de sommelière et un troisième rouleau de pièces. Il soutient que les images vidéo du vol sont claires et qu’on y voit notamment qu’il n’a pas dérobé une bourse de sommelière. En outre, les déclarations de la plaignante seraient confuses. Le premier juge a retenu que la bande vidéo de surveillance ne permettait pas de voir exactement ce que l’appelant avait dérobé derrière le bar. Cette affirmation est exacte. En effet, s’il ressort des images de surveillance que le prévenu se sert en deux fois, il n’est toutefois pas possible de dire s’il s’agit de deux rouleaux de pièces. Par contre, il paraît exclu selon les images qu’une bourse de sommelière ait été prise, en raison de la taille de cet objet qui est plus importante que ce que paraît prendre le prévenu. Il reste à déterminer si la version de l’appelant est crédible. Celui-ci prétend avoir dérobé 200 fr. en monnaie (soit deux rouleaux de pièces de 5 fr.) pour se venger d’un différend qu’il aurait eu avec le gérant du Pub dans lequel il a agi. C’est la version qu’il a donnée d’emblée et qu’il a maintenue (dossier B, PV aud. 1 et 2) et les images de surveillance ne permettent pas de le contredire ; les seules déclarations de N.________, qui n’a pas été témoin direct des faits (jugt, p. 9), ne sont à cet égard pas probantes, contrairement à ce qu’a retenu le premier juge. Enfin, on relèvera que les enquêteurs ont également retenu la version de l’appelant (dossier B, pièce 4, p. 5). Partant, J.________ doit être mis au bénéfice de ses déclarations, en application du principe in dubio pro reo . Il s’ensuit que seule pourrait être retenue contre lui l’infraction de vol d’importance mineure au sens de l’art. 139 al. 1 CP en relation avec l’art. 172ter CP, rien ne permettant par ailleurs de dire que l’intéressé aurait agi avec le dol éventuel d’obtenir un butin supérieur à 300 fr. (ATF 123 IV 155, JT 1998 IV 170 c. 1b). Cependant, dès lors que cette infraction ne se poursuit que sur plainte et que l’intimée a retiré sa plainte (p. 3 supra ), J.________ doit être purement et simplement libéré de l’infraction de vol. Au vu de la somme dérobée finalement retenue et admise, de l’ordre de 200 fr., l’allocation des conclusions civiles devra être limitée à ce montant. On notera à cet égard que le premier juge a ordonné la restitution de la somme de 200 fr. séquestrée alors que ce montant avait été prélevé avec l’accord du prévenu dans le but de rembourser la plaignante (dossier B, PV aud. 1, R. 9). A l’audience d’appel, l’appelant a admis que le chiffre VIII du dispositif du jugement soit rectifié en ce sens que la somme de 200 fr. est restituée à N.________ pour le Café Restaurant Q.________ et non à J.________ (p. 2 supra ). On réformera donc le jugement en ce sens.</w:t>
      </w:r>
    </w:p>
    <w:p>
      <w:r>
        <w:rPr>
          <w:b/>
        </w:rPr>
        <w:t>E. 5</w:t>
      </w:r>
    </w:p>
    <w:p>
      <w:r>
        <w:t>L’appelant se plaint encore du rejet de ses conclusions incidentes par le premier juge, mais ce moyen est devenu sans objet en raison de l’admission du précédent grief ; il en va de même des mesures d’instruction sollicitées en appel.</w:t>
      </w:r>
    </w:p>
    <w:p>
      <w:r>
        <w:rPr>
          <w:b/>
        </w:rPr>
        <w:t>E. 6</w:t>
      </w:r>
    </w:p>
    <w:p>
      <w:r>
        <w:t>J.________ conteste la peine qui lui a été infligée, mais il résulte de ses conclusions (ch. VI) qu’il demande exclusivement l’octroi du sursis. De toute manière, et même à défaut de conclusions tendant à la réduction de la peine, celle-ci doit être revue en raison de l’abandon du chef d’accusation de vol (c. 4 supra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6.1.2</w:t>
      </w:r>
    </w:p>
    <w:p>
      <w:r>
        <w:t>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L'art. 41 al. 1 CP prévoit ainsi deux conditions cumulatives. Il faut d'abord que les conditions du sursis à l'exécution de la peine ne soient pas réunies.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La seconde condition reflète la subsidiarité de la peine privative de liberté. En effet, 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ATF 134 IV 82 c. 4.1). Le choix de la sanction doit être opéré en tenant compte au premier chef de l’adéquation de la peine, de ses effets sur l’auteur et sur sa situation sociale, ainsi que de son efficacité du point de vue de la prévention (ATF 134 IV 97 c. 4.2; ATF 134 IV 82 c. 4.1).</w:t>
      </w:r>
    </w:p>
    <w:p>
      <w:r>
        <w:rPr>
          <w:b/>
        </w:rPr>
        <w:t>E. 6.2</w:t>
      </w:r>
    </w:p>
    <w:p>
      <w:r>
        <w:t>En l’espèce, J.________ doit être condamné, en définitive, pour lésions corporelles simples, menaces, infraction et contravention à la LStup, les trois premières infractions étant toutes punissables d'une peine privative de liberté de trois ans au plus ou d'une peine pécuniaire (art. 123 ch. 1, 180 al. 1 CP et 19 al. 1 LStup) et la dernière d’une amende (art. 19a ch. 1 LStup). Le prénommé en est à sa cinquième condamnation en dix ans. Ses précédentes condamnations à deux peines privatives de liberté fermes d’une durée totale de 14 mois et à deux peines pécuniaires avec et sans sursis n’ont eu aucun effet dissuasif sur lui, puisqu’il a continué de commettre des infractions, notamment à la LStup, alors qu’il avait déjà été condamné pour ce motif. Outre ses mauvais antécédents, on tiendra compte, à charge, du concours d’infractions, de la durée des faits incriminés et de son attitude peu collaborante en cours d’enquête. A décharge, on retiendra, à l’instar des premiers juges, ses aveux partiels ainsi que sa situation personnelle, en particulier le fait qu’il est toxicomane. Enfin, il y a lieu de tenir compte du fait que la peine est partiellement complémentaire à celle prononcée le 2 juillet 2013. En conséquence, a u vu de ce qui précède, et compte tenu en particulier de l'abandon de l’infraction de vol (c. 4 supra ) , il convient d'infliger à J.________ une peine de 120 jours et de confirmer l'amende de 400 fr. ainsi que la peine privative de liberté de substitution de 10 jours fixées par le premier juge . L’appelant ne conteste pas – à juste titre – le prononcé d’une peine privative de liberté. Ses antécédents, rappelés ci-dessus, et la répétition des infractions dans la présente affaire dictent en effet une telle sanction pour des motifs de prévention spéciale. C’est également en vain que l’appelant prétend au sursis. Pour les mêmes motifs, le pronostic est clairement défavorable et l'on ne voit pas qu'une peine pécuniaire, à laquelle l’appelant a déjà été condamné par le passé, ou un travail d'intérêt général puisse détourner le prévenu de la récidive. Le prévenu se complait dans sa toxicomanie et même s’il paraît suivi sur le plan médical (pièce 19/1), l’attestation délivrée par le médecin généraliste ne démontre pas que quelque chose de sérieux a été entrepris. Il en va de même sur le plan professionnel, le prévenu étant durablement au chômage. C’est donc une peine privative de liberté ferme qui doit être prononcée, l’art. 41 CP étant applicable.</w:t>
      </w:r>
    </w:p>
    <w:p>
      <w:r>
        <w:rPr>
          <w:b/>
        </w:rPr>
        <w:t>E. 7</w:t>
      </w:r>
    </w:p>
    <w:p>
      <w:r>
        <w:t>L’appelant conteste en dernier lieu la répartition des frais de justice entre lui et le coprévenu.</w:t>
      </w:r>
    </w:p>
    <w:p>
      <w:r>
        <w:rPr>
          <w:b/>
        </w:rPr>
        <w:t>E. 7.1</w:t>
      </w:r>
    </w:p>
    <w:p>
      <w:r>
        <w:t>Conformément à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(Crevoisier, in : Kuhn/Jeanneret (éd.), Commentaire romand, Code de procédure pénale suisse, Bâle 2011, n. 1 ad art 418 CPP). Par ailleurs,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7.2</w:t>
      </w:r>
    </w:p>
    <w:p>
      <w:r>
        <w:t>En l’espèce, on relèvera d’emblée que J.________ n’a pas qualité pour conclure à l’augmentation de la part des frais de justice mise à la charge de R.________. Il peut en revanche conclure à la réduction de ses propres frais. A cet égard, contrairement à ce qu’il prétend, le fait qu’il ait été libéré de l’infraction de lésions corporelles simples qualifiées et du vol du porte-monnaie du coprévenu en relation avec l’altercation du 11 novembre 2013 (jugt, p. 17 in initio ) n’a aucune influence sur les frais, dès lors qu’aucune opération d’enquête n’a été rendue inutile pour ces motifs, le prénommé ayant de toute manière été reconnu coupable de lésions corporelles simples pour ces faits. Il en va de même de l’abandon du chef d’accusation de vol en rapport avec les faits survenus le 16 janvier 2014 au Café Restaurant Q.________, l’intéressé ayant admis avoir dérobé 200 fr. et la libération de l’infraction de vol d’importance mineure n’étant due, en définitive, qu’au retrait de plainte intervenu à l’audience d’appel. En outre, c’est le comportement illicite de l’appelant, interpellé en possession de drogue et faisant l’objet de deux plaintes pénales, qui, conjointement à celui du coprévenu, a provoqué l’ouverture de l’action pénale. Dans ces circonstances, il ne saurait y avoir de réduction des frais de première instance. Pour le reste, la répartition des frais entre les coprévenus, par moitié chacun, est correcte, compte tenu du nombre de délits qui leur sont imputés.</w:t>
      </w:r>
    </w:p>
    <w:p>
      <w:r>
        <w:rPr>
          <w:b/>
        </w:rPr>
        <w:t>E. 8</w:t>
      </w:r>
    </w:p>
    <w:p>
      <w:r>
        <w:t>En conclusion, l'appel est partiellement admis et le jugement attaqué modifié dans le sens des considérants qui précèdent.</w:t>
      </w:r>
    </w:p>
    <w:p>
      <w:r>
        <w:rPr>
          <w:b/>
        </w:rPr>
        <w:t>E. 8.1</w:t>
      </w:r>
    </w:p>
    <w:p>
      <w:r>
        <w:t>Vu l'issue de la cause, les frais de la procédure d'appel seront mis par deux tiers à la charge du prévenu, le solde étant laissé à la charge de l’Etat (art. 428 al. 1, 1 ère phrase, CPP). Outre l'émolument, ces frais comprennent l’indemnité allouée au défenseur d’office de l’appelant, qui sera fixée à 2'710 fr. 80, TVA et débours compris, selon liste d’opérations communiquée oralement au greffe au terme de l’audience d’appel.</w:t>
      </w:r>
    </w:p>
    <w:p>
      <w:r>
        <w:rPr>
          <w:b/>
        </w:rPr>
        <w:t>E. 8.2</w:t>
      </w:r>
    </w:p>
    <w:p>
      <w:r>
        <w:t>J.________ ne sera tenu de rembourser à l’Etat les deux tiers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