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218 vom 30. Januar 2015</w:t>
      </w:r>
    </w:p>
    <w:p>
      <w:r>
        <w:t>VD Tribunal cantonal, 2015-01-30, FR</w:t>
      </w:r>
    </w:p>
    <w:p>
      <w:r>
        <w:rPr>
          <w:b/>
        </w:rPr>
        <w:t xml:space="preserve">Quelle: </w:t>
      </w:r>
      <w:r>
        <w:t>https://mcp.opencaselaw.ch/entscheid/vd_findinfo_Jug___2015___218</w:t>
      </w:r>
    </w:p>
    <w:p>
      <w:r>
        <w:t>FR: VD_FINDINFO Jug / 2015 / 218 du 30 janvier 2015</w:t>
      </w:r>
    </w:p>
    <w:p>
      <w:r>
        <w:t>IT: VD_FINDINFO Jug / 2015 / 218 del 30 gennaio 2015</w:t>
      </w:r>
    </w:p>
    <w:p>
      <w:pPr>
        <w:pStyle w:val="Heading2"/>
      </w:pPr>
      <w:r>
        <w:t>Regeste</w:t>
      </w:r>
    </w:p>
    <w:p>
      <w:r>
        <w:t>CONSTATATION DES FAITS, IN DUBIO PRO REO, ACQUITTEMENT, FRAIS DE LA PROCÉDURE, PLAIGNANT | 10 CPP (CH), 398 al. 3 let. b CPP (CH), 427 al. 2 CPP (CH), 429 al. 1 let. a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d’O.________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A l’audience d’appel, l’appelant a réitéré l’ensemble de ses réquisitions de preuve, à savoir l’audition de [...], de [...], de [...] et de la Dresse [...], ainsi que la mise en œuvre d’une expertise du CURML tendant à déterminer la nature et les causes de ses blessures. Ces réquisitions, formulées pour la première fois au stade de la déclaration d’appel, sont tardives et par conséquent irrecevables. Par ailleurs, il ne s’agit que de témoignages indirects s’agissant de [...], de [...] et de la Dresse [...]. Les éléments au dossier ne permettent au demeurant pas d’affirmer que [...] aurait assisté à l’altercation. De plus, on ne voit pas ce que pourrait apporter ce témoin, qui devrait être entendu sur des faits datant d’environ deux ans et qui est de surcroît un client du prévenu. Enfin, l’expertise sollicitée est tout à fait exorbitante par rapport aux faits de la cause. Les blessures sont de toute manière attestées par les photographies figurant au dossier. Par conséquent, les réquisitions de preuve formulées par l’appelant doivent être rejetées.</w:t>
      </w:r>
    </w:p>
    <w:p>
      <w:r>
        <w:rPr>
          <w:b/>
        </w:rPr>
        <w:t>E. 4</w:t>
      </w:r>
    </w:p>
    <w:p>
      <w:r>
        <w:t>L’appelant conteste la libération de X.________ des chefs d’accusation de lésions corporelles simples et injure. Il reproche au premier juge d’avoir préféré la version du prévenu à la sienne. En bref, il explique qu’il n’a jamais varié dans ses déclarations, que le prévenu ne respecte personne – son bail ayant d’ailleurs été résilié par la société propriétaire –, que le témoin [...] a appuyé ses déclarations, qu’il a eu besoin d’une thérapie durant près d’un an pour se remettre de cette agression, que ses propos sont confirmés, pour l’essentiel, par la première version des faits donnée par le prévenu et que les témoins à décharge se contredisent et ne sont donc pas crédibles.</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4.2</w:t>
      </w:r>
    </w:p>
    <w:p>
      <w:r>
        <w:t>En l’occurrence, les versions des protagonistes impliqués dans la présente affaire divergent totalement. Le plaignant a ainsi affirmé que le prévenu l’avait traité de fils de pute, qu’il avait saisi un objet tranchant dans un tiroir, lame dans la main, avant de venir dans sa direction, que lui-même avait alors foncé contre le prévenu, que ce dernier avait, à ce moment là, fait un geste circulaire avec l’objet tranchant qu’il tenait mais qu’il avait paré ce coup avec son avant bras gauche; le plaignant a encore expliqué que, pour se défendre, il avait attrapé le nez du prévenu en passant derrière sa nuque, qu’il lui avait fait un croche-pied pour le faire chuter et lui avait infligé une clé de poignet pour le désarmer (cf. PV aud. 1). Le prévenu a quant à lui affirmé que le plaignant était entré dans son garage énervé et en lançant des injures, qu’il lui avait dit de quitter les lieux, qu’il était allé à son bureau saisir un trousseau de clés afin de pouvoir fermer la porte de son garage, qu’il s’était dirigé vers le plaignant et que ce dernier avait alors foncé sur lui, les faisant tomber tous les deux et lui occasionnant une griffure au visage (cf. PV aud. 4). Il n’est pas possible de savoir réellement ce qui s’est passé dans le garage le jour de l’altercation. La version du prévenu est certes corroborée par deux témoignages, à savoir ceux de [...] et d’[...] (cf. PV aud. 3; jgt., p. 5 et 7). Il s’agit toutefois de clients de l’intimé, lesquels ont au demeurant également rencontré des problèmes avec le plaignant. On ne saurait dès lors accorder beaucoup de valeur à leurs déclarations. La version du plaignant est également douteuse. En effet, ce dernier a beaucoup de ressentiment envers le prévenu; il a ainsi expliqué qu’au moment des faits, il était déjà en litige depuis deux ans avec l’intéressé et qu’il était exaspéré le jour en question. De plus, il semble également avoir été très agité lorsqu’il est entré dans le garage et a d’ailleurs admis s’être précipité sur le prévenu, lorsqu’il a vu ce dernier venir à son encontre. Ses explications ne sont en outre pas toujours cohérentes. Ainsi, il a une fois expliqué avoir roulé par terre après s’être fait poussé par la voiture de la cliente du prévenu; or le témoin [...] n’a jamais affirmé l’avoir vu au sol. Les lésions constatées, soit des abrasions cutanées, sont également difficilement compatibles avec des blessures provoquées par une lame de cutter. Enfin, le plaignant est physiquement plus corpulent, possède une formation d’agent de sécurité et a d’ailleurs très rapidement et efficacement su maîtriser le garagiste, en le mettant notamment au sol. Dans ces conditions, il n’est pas possible de déterminer le déroulement exact de l’altercation survenue entre les deux hommes le 6 juillet 2014 dans le garage du prévenu. Il existe ainsi un doute raisonnable qui doit profiter à X.________. La libération de ce dernier des chefs d’accusation de lésions corporelles simples et injure doit ainsi être confirmée.</w:t>
      </w:r>
    </w:p>
    <w:p>
      <w:r>
        <w:rPr>
          <w:b/>
        </w:rPr>
        <w:t>E. 5</w:t>
      </w:r>
    </w:p>
    <w:p>
      <w:r>
        <w:t>L’appelant conteste sa condamnation au paiement partiel des frais de justice et de défense relatifs à la procédure de première instance.</w:t>
      </w:r>
    </w:p>
    <w:p>
      <w:r>
        <w:rPr>
          <w:b/>
        </w:rPr>
        <w:t>E. 5.1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ou lorsque que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celle renonciation ne vaut pas retrait de la plainte pénale (ATF 138 IV248 c. 4.2.1).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 4.2.2).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 4.4.1).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 4.2.4). A cet égard, il dispose d’un large pouvoir d’appréciation.</w:t>
      </w:r>
    </w:p>
    <w:p>
      <w:r>
        <w:rPr>
          <w:b/>
        </w:rPr>
        <w:t>E. 5.2</w:t>
      </w:r>
    </w:p>
    <w:p>
      <w:r>
        <w:t>En l’occurrence, le prévenu a été libéré au bénéfice du doute; en revanche, contrairement à l’appréciation du premier juge, il ne peut être établi que le plaignant a agi de manière téméraire en déposant plainte. Peu importe toutefois. En effet, conformément à la jurisprudence précitée, la personne qui porte plainte pénale et qui prend part à la procédure comme partie plaignante doit assumer entièrement le risque lié aux frais. Or tel est bien le cas de l’appelant dans la présente cause. La condamnation d’O.________ au paiement partiel des frais de justice et de défense relatifs à la procédure de première instance doit ainsi être confirmée.</w:t>
      </w:r>
    </w:p>
    <w:p>
      <w:r>
        <w:rPr>
          <w:b/>
        </w:rPr>
        <w:t>E. 6</w:t>
      </w:r>
    </w:p>
    <w:p>
      <w:r>
        <w:t>En définitive, l’appel d’O.________ doit être rejeté et le jugement entrepris entièrement confirmé.</w:t>
      </w:r>
    </w:p>
    <w:p>
      <w:r>
        <w:rPr>
          <w:b/>
        </w:rPr>
        <w:t>E. 7</w:t>
      </w:r>
    </w:p>
    <w:p>
      <w:r>
        <w:t>Le prévenu a droit à l’allocation de dépens pour la présente procédure. Ce dernier réclame une indemnité d’un montant total de 2'105 fr. 80, correspondant à 5 heures 55 minutes d’activité hors temps d’audience, au tarif horaire de 350 fr., plus 35 fr. de débours, TVA en sus (P. 45).</w:t>
      </w:r>
    </w:p>
    <w:p>
      <w:r>
        <w:rPr>
          <w:b/>
        </w:rPr>
        <w:t>E. 7.1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Conformément à l’art. 26a TFIP (Tarif des frais de procédure et indemnités en matière pénale du 28 septembre 2010, RSV 312.03.1), le tarif déterminant est de 250 fr. au minimum et de 350 fr. au maximum pour l’activité déployée par l’avocat (al. 1). Dans les causes particulièrement complexes ou nécessitant des connaissances particulières, ce tarif peut être augmenté jusqu’à 400 francs (al. 2).</w:t>
      </w:r>
    </w:p>
    <w:p>
      <w:r>
        <w:rPr>
          <w:b/>
        </w:rPr>
        <w:t>E. 7.2</w:t>
      </w:r>
    </w:p>
    <w:p>
      <w:r>
        <w:t>En l’occurrence, s’agissant du tarif horaire, il est relevé que l’affaire est simple, celle-ci ne présentant pas de difficultés particulières tant sur le plan factuel que juridique. Il convient dès lors de tenir compte du minimum légal de 250 francs. Pour le reste, au vu de la connaissance du dossier acquise en première instance et des opérations nécessaires à la défense des intérêts du prévenu, une activité totale de 6 heures sera prise en considération. En conséquence, c’est une indemnité de 1'675 fr. 80, TVA et 35 fr. de débours compris, qui doit être allouée à X.________ pour la procédure d’appel et mise à la charge d’O.________.</w:t>
      </w:r>
    </w:p>
    <w:p>
      <w:r>
        <w:rPr>
          <w:b/>
        </w:rPr>
        <w:t>E. 8</w:t>
      </w:r>
    </w:p>
    <w:p>
      <w:r>
        <w:t>Vu l’issue de la cause, les frais de la présente procédure, constitués du seul émolument d’arrêt, par 1’800 fr.,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