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205 vom 6. Dezember 2013</w:t>
      </w:r>
    </w:p>
    <w:p>
      <w:r>
        <w:t>VD Tribunal cantonal, 2013-12-06, FR</w:t>
      </w:r>
    </w:p>
    <w:p>
      <w:r>
        <w:rPr>
          <w:b/>
        </w:rPr>
        <w:t xml:space="preserve">Quelle: </w:t>
      </w:r>
      <w:r>
        <w:t>https://mcp.opencaselaw.ch/entscheid/vd_findinfo_Jug___2015___205</w:t>
      </w:r>
    </w:p>
    <w:p>
      <w:r>
        <w:t>FR: VD_FINDINFO Jug / 2015 / 205 du 6 décembre 2013</w:t>
      </w:r>
    </w:p>
    <w:p>
      <w:r>
        <w:t>IT: VD_FINDINFO Jug / 2015 / 205 del 6 dicembre 2013</w:t>
      </w:r>
    </w:p>
    <w:p>
      <w:pPr>
        <w:pStyle w:val="Heading2"/>
      </w:pPr>
      <w:r>
        <w:t>Regeste</w:t>
      </w:r>
    </w:p>
    <w:p>
      <w:r>
        <w:t>HOMICIDE PAR NÉGLIGENCE, FAUTE, APPRÉCIATION DES PREUVES, LIEN DE CAUSALITÉ | 117 CP</w:t>
      </w:r>
    </w:p>
    <w:p>
      <w:pPr>
        <w:pStyle w:val="Heading2"/>
      </w:pPr>
      <w:r>
        <w:t>Erwägungen</w:t>
      </w:r>
    </w:p>
    <w:p>
      <w:r>
        <w:rPr>
          <w:b/>
        </w:rPr>
        <w:t>E. 1</w:t>
      </w:r>
    </w:p>
    <w:p>
      <w:r>
        <w:t>Interjetés dans les formes et délais légaux par des parties ayant la qualité pour recourir contre un jugement du tribunal de première instance ayant clos la procédure (art. 398 al. 1 CPP [Code de procédure pénale suisse du 5 octobre 2007; RS 312.0), les appels du Ministère public et de B.G.________ et C.________ sont recevables.</w:t>
      </w:r>
    </w:p>
    <w:p>
      <w:r>
        <w:rPr>
          <w:b/>
        </w:rPr>
        <w:t>E. 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3.1</w:t>
      </w:r>
    </w:p>
    <w:p>
      <w:r>
        <w:t>Les experts mandatés par les autorités pénales sont appelés experts judiciaires par opposition aux experts privés qui ont eux été mandatés par l'une des parties à la procédure. Dans le cadre de l'art. 182 CPP, le législateur n'a pas envisagé l'expertise privée mais le code ne l'exclut pas (Moreillon/Parein-Reymond, Code de procédure pénale, Petit commentaire, Bâle 2013, n. 3 ad Généralités sur l'expertise art. 182 CPP). 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 4.2.3; ATF 129 I 49 c. 4; ATF 128 I 81 c. 2; ATF 118 Ia 144 c. 1c ; ATF 107 IV 7 c. 5 p. 8 et les arrêts cités). Si, en revanche, les conclusions d’une expertise judiciaire apparaissent douteuses sur des points essentiels, celui-ci doit recueillir des preuves complémentaires pour tenter de dissiper les doutes. A défaut, en se fondant sur une expertise non concluante, il pourrait commettre une appréciation arbitraire des preuves et violer l’art. 9 Cst (ATF 118 Ia 144 c.1c p.146). Selon le Tribunal fédéral, l'expertise privée n'a, en tant que telle, pas la même valeur probante que l'expertise ordonnée par le juge et elle constitue les simples allégations d'une partie. L'expert privé n'est pas considéré comme étant aussi indépendant et impartial que ne l'est un expert officiel puisqu'il se trouve  dans une relation contractuelle avec la partie qui l'a mandaté et qu'il exprime une opinion personnelle sans que l'autorité lui ait rappelé les obligations incombant à l'expert officiel. L'on ne peut par conséquent attribuer la même valeur à cette opinion personnelle que celle qui est accordée à une expertise officielle, quand bien même l'expert est reconnu et expérimenté (ATF 132 III 83, c. 3.4; TF 6B_49/2011 du 4 avril 2011, c. 1.4). Tout au plus l'expertise privée peut être utilisée pour mettre en évidence les défauts de l'expertise judiciaire (ATF 137 II 266, c. 3.2); elle ne saurait même en cas de divergence grave prévaloir sur une expertise judiciaire (TF 6B_884/2014 du 8 avril 2015 c. 3.4.4 et les références citées).</w:t>
      </w:r>
    </w:p>
    <w:p>
      <w:r>
        <w:rPr>
          <w:b/>
        </w:rPr>
        <w:t>E. 3.2</w:t>
      </w:r>
    </w:p>
    <w:p>
      <w:r>
        <w:t>En l'espèce, plusieurs médecins se sont exprimés durant l'enquête quant à la prise en charge concrète de A.G.________ à l'Hôpital T.________.</w:t>
      </w:r>
    </w:p>
    <w:p>
      <w:r>
        <w:rPr>
          <w:b/>
        </w:rPr>
        <w:t>E. 3.2.1</w:t>
      </w:r>
    </w:p>
    <w:p>
      <w:r>
        <w:t>Trois d'entre eux ont établi des rapports écrits. Seul le Dr A.________ a été mis en œuvre par le Procureur, le 25 novembre 2011 (P. 70). Le Dr A.________ a eu accès à quasi l'entier du dossier mais n'a pas eu connaissance des déclarations faites par la Prof W.________. Il n'a travaillé que sur dossier et ne s'est entretenu ni avec les parents de l'enfant, ni avec les prévenues. Son rapport du 29 février 2012 (P. 74) a, seul, valeur d'expertise judiciaire. Il doit être complété par ses déclarations faites au Procureur, le 20 septembre 2012 (PV aud. n° 13), ainsi que celles faites devant les premiers juges, le 4 décembre 2013 (cf. PV jgt, p.43 ss). Le Dr A.________ a en effet donné à ces occasions des précisions et rectifié certaines erreurs de traduction. Ainsi, les points peu clairs, voire contradictoires qui auraient pu donner lieu à discussion ont été éclaircis dans le cadre de ces auditions auxquelles les parties ont assisté. Il convient de souligner en outre que le fait que le Dr A.________ ait cru, par erreur, que le SMUR avait déjà envisagé le diagnostic de méningite (alors que cette indication ne résulte que d'un rapport de la REGA postérieur au décès), n'a aucune incidence sur la pertinence de ses appréciations, dès lors que le diagnostic différentiel de méningite a aussi été émis dans le Service de pédiatrie de l'Hôpital T.________. En cours de procédure, les parties n'ont pas contesté ce rapport en requérant par exemple un complément d'expertise ou une deuxième expertise. Le Dr M.________ a pour sa part été mis en œuvre dans un cadre administratif, par le médecin cantonal, et il est intervenu avant que la procédure pénale ne débute. Dans le cadre de l'exécution de son mandat, il s'est entretenu avec les parties. Son objectivité ne fait pas de doute, même s'il n'a pas été chargé d'une expertise judiciaire proprement dite. Le troisième avis médical écrit a été formulé par le Dr N.________, qui a eu accès aux pièces médicales mais pas à l'ensemble du dossier pénal, en particulier pas aux procès-verbaux d'audition. Le Dr N.________ a répondu à des questions qui lui ont été adressées par le défenseur d'I.________. Il a un lien professionnel avec les prévenues, qu'il apprécie et qu'il a formées dans leur spécialité, étant très impliqué dans la formation des pédiatres dans le canton de Vaud. Il est également concerné par l'organisation des urgences pédiatriques dans le canton. Compte tenu de ces liens, le Dr N.________ n'aurait pas pu fonctionner comme expert judiciaire dans le cadre de la présente affaire. Son avis ne saurait avoir valeur d'expertise.</w:t>
      </w:r>
    </w:p>
    <w:p>
      <w:r>
        <w:rPr>
          <w:b/>
        </w:rPr>
        <w:t>E. 3.2.2</w:t>
      </w:r>
    </w:p>
    <w:p>
      <w:r>
        <w:t>D'autres médecins ont été entendus lors de l'enquête et aux débats de première instance et ont été impliqués dans la prise en charge de l'enfant, en particulier les Dresses D.________, E.________ et R.________, médecins assistantes auprès de l'Hôpital T.________, le Dr F.________, neuro-pédiatre au Centre Hospitalier B.________, auquel le cas de A.G.________ a été soumis par téléphone le 13 mai 2009 en début d'après-midi, et le professeur W.________ au Centre Hospitalier B.________, qui s'est notamment occupée de A.G.________ après son transfert dans cet établissement hospitalier.</w:t>
      </w:r>
    </w:p>
    <w:p>
      <w:r>
        <w:rPr>
          <w:b/>
        </w:rPr>
        <w:t>E. 3.2.3</w:t>
      </w:r>
    </w:p>
    <w:p>
      <w:r>
        <w:t>Dans l'appréciation des faits, il conviendra de tenir compte de tous ces éléments, qui donnent chacun un éclairage sur la prise en charge de l'enfant, tout en gardant à l'esprit que leur valeur probante diffère selon le type d'information fournie (renseignement médical général, avis sur la prise en charge de A.G.________), la connaissance du dossier et le rôle que chacun a joué dans la procédure. Quoi qu'il en soit, et contrairement à ce que prétend l'intimée L.________, on ne saurait mettre les avis de tous les médecins entendus sur le même niveau que le rapport de l'expert A.________, qui demeure le seul expert judiciaire du dossier. Il convient de souligner enfin que c'est l'état général de l'enfant et sa prise en charge globale qui est déterminante et pas une donnée médicale ou un examen pris isolément, ceci depuis l'apparition des premiers symptômes jusqu'au décès.</w:t>
      </w:r>
    </w:p>
    <w:p>
      <w:r>
        <w:rPr>
          <w:b/>
        </w:rPr>
        <w:t>E. 4</w:t>
      </w:r>
    </w:p>
    <w:p>
      <w:r>
        <w:t>Les appelants C.________ et B.G.________ font tout d'abord valoir que divers points de fait n'ont pas été établis à satisfaction dans le cas particulier.</w:t>
      </w:r>
    </w:p>
    <w:p>
      <w:r>
        <w:rPr>
          <w:b/>
        </w:rPr>
        <w:t>E. 4.1</w:t>
      </w:r>
    </w:p>
    <w:p>
      <w:r>
        <w:t>Ils relèvent tout d'abord que leur fille A.G.________ est restée plus d'une heure aux urgences où elle n'a bénéficié d'aucun examen spécifique, en particulier qu'il n'a pas été procédé à un examen neurologique complet avant 15h30. On ne saurait affirmer, comme le font les parents de l'enfant, que A.G.________ n'a pas été prise en charge mais négligée. L'enfant a en effet été examinée dès son arrivée aux urgences par la Dresse D.________, qui a constaté l'otite, vu et entendu les parents de l'enfant. Par la suite, A.G.________ a été admise en service de pédiatrie, où elle a été accueillie par la Dresse E.________ et sa prise en charge discutée en présence des Dresses I.________, L.________, E.________ et D.________. A la fin de cette discussion, l'enfant a encore été vue par les Dresses E.________ et L.________. Son hospitalisation a été décidée et une prise de sang ordonnée. Le premier examen neurologique complet, dont les résultats ont été consignés dans le dossier de la patiente, a effectivement été effectué à 15h30 par la Dresse L.________. Cela ne veut toutefois pas dire que l'enfant n'a pas été examinée par les médecins jusque-là et le dossier atteste du contraire.</w:t>
      </w:r>
    </w:p>
    <w:p>
      <w:r>
        <w:rPr>
          <w:b/>
        </w:rPr>
        <w:t>E. 4.2</w:t>
      </w:r>
    </w:p>
    <w:p>
      <w:r>
        <w:t>Les parents se plaignent de ne pas avoir été écouté dans leurs inquiétudes. Le dossier est muet sur ce point, ce qui n'a pas manqué de surprendre notamment le Dr N.________, qui a exposé qu'un certain nombre de notes descriptives des infirmières et les mots des parents y étaient peu, voire pas du tout retranscrits, et manquaient au dossier médical (cf. jgt, p. 34). Les infirmières et les médecins ont toutefois fait état d'un dialogue avec les parents. On retiendra dès lors que ce dialogue a existé, même si la maman a eu l'impression qu'on cherchait surtout à la rassurer, sans prendre en compte ses inquiétudes.</w:t>
      </w:r>
    </w:p>
    <w:p>
      <w:r>
        <w:rPr>
          <w:b/>
        </w:rPr>
        <w:t>E. 4.3</w:t>
      </w:r>
    </w:p>
    <w:p>
      <w:r>
        <w:t>Les parents font valoir enfin que l'état de leur fille n'était pas stable vers 15h30, ni ultérieurement. Lorsque A.G.________ a été examinée par la Dresse L.________, l'état de conscience était normal, avec un Glasgow à 15, et l'enfant ne présentait pas de signes méningés. Elle était légèrement tachypnéique. Toutefois, plus tard, l'enfant a alterné les moments d'éveil et de sommeil. Elle a vomi. La tachypnée et la tachycardie ont persisté malgré une thérapie de volume. Il faut donc retenir avec l'expert que l'état instable de l'enfant a globalement persisté, même si son état neurologique s'était apparemment amélioré.</w:t>
      </w:r>
    </w:p>
    <w:p>
      <w:r>
        <w:rPr>
          <w:b/>
        </w:rPr>
        <w:t>E. 5</w:t>
      </w:r>
    </w:p>
    <w:p>
      <w:r>
        <w:t>Tant le Ministère public que les parties plaignantes font valoir que c'est à tort que les premiers juges n'ont pas retenu l'infraction d'homicide par négligence à la charge d'I.________ et de L.________. Ils invoquent un abus de pouvoir d'appréciation quant à l'établissement des faits et, partant, une violation du droit (art. 398 al. 3 let. a CPP).</w:t>
      </w:r>
    </w:p>
    <w:p>
      <w:r>
        <w:rPr>
          <w:b/>
        </w:rPr>
        <w:t>E. 5.1</w:t>
      </w:r>
    </w:p>
    <w:p>
      <w:r>
        <w:t>L'art. 117 CP réprime le comportement de celui qui, par négligence, aura causé la mort d'une personne. La réalisation de cette infraction suppose la réunion de trois conditions: le décès d'une personne, une négligence et un lien de causalité entre la négligence et la mort (ATF 122 IV 145 c. 3; TF 6B_512/2010 du 26 octobre 2010 c. 2.1).</w:t>
      </w:r>
    </w:p>
    <w:p>
      <w:r>
        <w:rPr>
          <w:b/>
        </w:rPr>
        <w:t>E. 5.1.1</w:t>
      </w:r>
    </w:p>
    <w:p>
      <w:r>
        <w:t>En l'occurrence, il n'est ni contestable, ni contesté que A.G.________ est décédée au Centre Hospitalier B.________ le 15 mai 2009. Seules les questions de l'existence de la négligence et du lien de causalité doivent être examinées.</w:t>
      </w:r>
    </w:p>
    <w:p>
      <w:r>
        <w:rPr>
          <w:b/>
        </w:rPr>
        <w:t>E. 5.1.2</w:t>
      </w:r>
    </w:p>
    <w:p>
      <w:r>
        <w:t>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 2a p. 135, TF 6B_369/2011 du 5 décembre 2011 c. 2.1 ; TF 6B_748/2010 et 6B_753/2010 du 23 décembre 2010 c. 4.1). En second lieu, pour qu'il y ait négligence, il faut que la violation du devoir de prudence soit fautive, c'est-à-dire que l'on puisse reprocher à l'auteur, compte tenu de ses circonstances personnelles, une inattention ou un manque d'effort blâmable (ATF 134 IV 255 c. 4.2.3 et les références citées). L'infraction de lésions corporelles par négligence suppose en règle générale un comportement actif. Elle peut toutefois aussi être commise par un comportement passif contraire à une obligation d'agir (cf. art. 11 al. 1 CP). N'importe quelle obligation juridique ne suffit pas. Lorsque l'homicide par négligence résulte d'une omission (délit d'omission improprement dit), la réalisation de l'infraction suppose, en outre, que la personne à laquelle l'infraction est imputée se trouvait, au moment de son omission, dans une situation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ATF 136 IV 188 c. 6.2; ATF 134 IV 255 c. 4.2.1 ; TF 6B_369/2011 du 5 décembre 2011 c. 2.1 ; TF 6B_1/2011 du 31 août 2011 c. 2.1). La loi énumère plusieurs situations pouvant fonder une position de garant, savoir la loi, un contrat, une communauté de risques librement consentie ou la création d'un risque (art. 11 al. 2 CP). Il est ainsi généralement admis que le médecin et du personnel soignant vis-à-vis de leurs patients (Dupuis et alii, Petit commentaire, Code pénal, Bâle 2012, n. 11 ad art. 11 CP). Pour délimiter les responsabilités en cas de travail médical en équipe, la doctrine pénale recourt au principe de la confiance (Trechsel/Jean-Richard dit-Bressel, Schweizerisches Strafgesetzbuch, Praxiskommentar, 2 e éd., 2013, n° 11 ad art. 11 CP; José Hurtado Pozo, Droit pénal, Partie générale, 2008, n° 1376 ss), développé en matière de circulation routière, selon lequel tout conducteur peut compter, en l'absence d'indice contraire, avec une certaine prudence des autres personnes (ATF 118 IV 277 c. 4). De la même manière, en cas de division horizontale du travail, chaque travailleur doit pouvoir légitimement s'attendre que son collègue respectera ses devoirs, tant qu'aucune circonstance ne laisse présumer le contraire. En cas de répartition verticale, la doctrine subordonne le principe de la confiance à l'obligation, pour le supérieur, de choisir un auxiliaire qualifié, de lui donner les instructions nécessaires et de le surveiller correctement (cura in eligendo, custodiendo et instruendo; Kurt Seelmann, in Basler Kommentar, Strafrecht I, vol. I, 2013, n° 41 ad art. 11 CP p. 22; Robert Roth, Le droit pénal face au risque et à l'accident individuels, Lausanne 1987, p. 88 ss; ATF 120 IV 300 c. 3d/bb).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La responsabilité civile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Cette notion ne doit toutefois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ses devoirs que lorsqu'il pose un diagnostic ou choisit une thérapie ou une autre méthode qui, selon l'état général des connaissances professionnelles, n'apparaît plus défendable et ne satisfait pas aux exigences objectives de l'art médical (ATF 130 IV 7, JT 2004 I 497, c. 3.3 et les réf. cit.).</w:t>
      </w:r>
    </w:p>
    <w:p>
      <w:r>
        <w:rPr>
          <w:b/>
        </w:rPr>
        <w:t>E. 5.1.2.1</w:t>
      </w:r>
    </w:p>
    <w:p>
      <w:r>
        <w:t>En l'occurrence, les premiers juges, après avoir souligné que l'hypothèse de la méningite n'avait pas été méconnue par les médecins de l'Hôpital T.________, ont retenu que le fait que A.G.________ faisait l'objet d'une récupération neurologique complète et d'un état de conscience préservé constituait une circonstance particulière, qui justifiait, lors de son admission dans le service de pédiatrie, le fait d'attendre et de se borner à surveiller son évolution. Ils se sont fondés en cela sur l'avis du Dr N.________, qui a déclaré que, dès lors que l'enfant avait résolu sa symptomatologie neurologique, il se justifiait de procéder à une surveillance attentive mais non de faire des examens complémentaires, soit une ponction lombaire ou un scanner (cf. jgt, p. 33 et 81). Dans ces circonstances, le tribunal n'a pas retenu la violation du devoir de prudence à la charge des prévenues pour la période entourant l'admission à l'hôpital. Le même raisonnement a été appliqué quant à la prise en charge de l'enfant dans l'après-midi ou dans la soirée: dans l'après-midi, dans la mesure où il n'y avait ni signes méningés, ni signes neurologiques anormaux, ni autres éléments nouveaux, soit un état stable, la décision de maintenir le statu quo n'était pas constitutive d'une violation du devoir de diligence. Pour le reste, I.________ avait, au milieu de la nuit, mis en place l'ensemble des mesures au plus vite, dans un laps de temps de l'ordre d'une heure et quart suivant son arrivée à l'hôpital, de sorte que l'existence d'une violation de son devoir de diligence ne pouvait non plus être retenue, étant précisé qu'il n'apparaissait pour le surplus pas possible de déterminer si l'administration d'un antibiotique une, deux, voire trois heures plus tôt aurait permis d'éviter la survenance du décès.</w:t>
      </w:r>
    </w:p>
    <w:p>
      <w:r>
        <w:rPr>
          <w:b/>
        </w:rPr>
        <w:t>E. 5.1.2.2</w:t>
      </w:r>
    </w:p>
    <w:p>
      <w:r>
        <w:t>Tant le Ministère public que B.G.________ et C.________ estiment que le tribunal a abusé de son pouvoir d'appréciation en considérant, au vu des faits retenus, que les prévenues n'avaient pas contrevenu aux règles élémentaires de prudence. Les plaignants reprochent aussi aux premiers juges de s'être en cela écartés de l'avis de l'expert, sans motivation particulière. En  l'occurrence, il est constant – et les prévenues ne le contestent d'ailleurs pas – que l'une des causes possibles des symptômes que présentaient A.G.________ était la méningite bactérienne. Cette hypothèse a été évoquée dans le diagnostic différentiel qu'elles ont posé lors de l'arrivée de l'enfant dans le service de pédiatrie de l'Hôpital T.________. Elle n'a pas été évoquée précédemment: le pédiatre de l'enfant a certes mentionné cette affection dans son dossier mais n'a pas communiqué ce diagnostic au SMUR. Aux urgences, la méningite n'a pas été envisagée. A la question de savoir si les médecins responsables avaient omis de prendre des mesures qui auraient nécessairement dû être prises lors de l'admission de l'enfant, l'expert judiciaire A.________ a indiqué que le fait que l'état de A.G.________ se soit amélioré spontanément et considérablement (disparition de la paralysie de l'hémiface gauche, réveil, comportement joueur) en quelques heures seulement, pourrait conduire à une réponse négative. En revanche, au vu des valeurs sanguines (leucocytose, CRP) qui étaient compatibles (mais pas probantes) avec une infection bactérienne et en raison du fait que l'enfant présentait toujours, malgré la diminution de la fièvre, une tachycardie et une tachypnée – éléments aussi compatibles avec une infection bactérienne et non avec une banale infection virale – parlaient en faveur d'une omission de la part des médecins. Ainsi, un comportement prudent, visant la sécurité et cherchant à éviter le pire (worst case scenario) aurait exigé, de l'avis de l'expert, la prise de mesures d'urgence telles une formule sanguine, CRP, hémoculture, antibiotiques empiriques, scanner, imagerie, voire ponction lombaire (cf. P. 74/3, réponse ad Q. 4). Devant le procureur, l'expert a précisé que, chez les enfants en bas âge, l'évolution pouvait être si foudroyante qu'il faudrait d'abord commencer par un traitement empirique avant d'observer l'évolution (cf. PV aud. n°13 du 20 septembre 2012, l. 151 s.). A ses yeux, même s'il n'existait pas de "guidelines" internes à l'Hôpital T.________ recommandant la procédure à suivre lors d'épisodes de fièvres complexes – ce qui peut relever d'une erreur dans le déroulement des processus de l'hôpital – l'exclusion d'une méningite bactérienne dans le cadre de la médecine d'urgence relève de la plus grande priorité : il ressort du devoir de diligence individuelle du médecin traitant d'exclure la possibilité d'une méningite bactérienne lors d'accès de fièvre complexe, même si cette maladie ne se présente que dans moins d'un pour cent des cas accompagnés d'accès de fièvre complexe (cf. P. 74/3, ad Q. 18). Selon le Dr M.________, il faut, face à un premier épisode de convulsions fébriles, maintenir un haut niveau de vigilance face à la possibilité d'une infection bactérienne du système nerveux central. Il rappelle à cet égard que la littérature médicale indique que la ponction lombaire doit être encore plus facilement exécutée lorsque l'enfant a moins de 12 mois ou si les convulsions sont complexes. Cela étant, vu l'existence chez A.G.________ de convulsions fébriles complexes, d'un âge inférieur à 12 mois, d'examens complémentaires pathologiques (leucocytose et déviation gauche, avec CRP élevée, l'indication des examens complémentaires (ponction lombaire ou imagerie cérébrale) était clairement posée (Cf. P. 5, p. 9). Pour le Dr M.________, si le diagnostic initial et le diagnostic différentiel sont corrects, il y a eu en l'espèce une certaine mésestimation de la gravité de la situation, ce qui a entraîné un retard dans la mise en route d'un traitement curatif (cf. P. 5, p. 14). Le Dr N.________ enfin a souligné que la décision de faire ou de ne pas pratiquer d'examens supplémentaires ou de mettre ou ne pas mettre A.G.________ sous antibiotique durant l'après-midi d'observation à l'hôpital ou même d'emblée lors de son arrivée dépendait de l'évaluation de son état clinique; à cet égard, les éléments objectifs du dossier ne permettaient pas selon lui de dire que l'état clinique de l'enfant nécessitait d'aller plus rapidement avec les examens ou la mise sous antibiotique. Selon lui, les paramètres relevés (fréquence cardiaque, fréquence respiratoire, tension artérielle et temps de recoloration cutané) durant le début du séjour de l'enfant à l'Hôpital T.________ (soit de 11h40 à 20h) ne permettaient pas d'affirmer que A.G.________ était en état de pré-choc. Une surveillance attentive était suffisante à ses yeux (cf. jgt, pp 81-82). Les avis des médecins brièvement rappelés ci-dessus divergent mais, contrairement à ce qu'affirment les intimées, les Drs A.________ et M.________ n'ont pas ignoré le fait que l'enfant avait presque complètement récupéré en arrivant à l'hôpital. C'est l'importance à apporter à cette récupération qui donne lieu à la divergence des points de vue. Même si l'état de A.G.________ semblait s'être amélioré lors de son entrée dans le service de pédiatrie – seule une très légère parésie faciale étant encore visible à ce moment-là – cette récupération, de l'avis de tous, a été lente (env. 3h). De plus, A.G.________ est arrivée à l'hôpital alors qu'elle avait connu des épisodes de fièvre depuis trois jours, qu'une otite débutante avait été diagnostiquée par son pédiatre et qu'elle avait déjà fait deux épisodes de convulsions fébriles, en particulier celui qui l'avait conduite à l'Hôpital T.________, épisode qui avait duré quelque 45 minutes. Lors de sa prise en charge par le SMUR, A.G.________ avait reçu une médication lourde, qui pouvait rendre l'évaluation des signes cliniques plus difficile. La prise de sang, effectuée peu après midi, a révélé une leucocytose et une CRP élevée. Malgré la diminution de la fièvre, l'enfant présentait toujours une tachypnée et une tachycardie, éléments qui étaient compatibles avec une infection bactérienne. Dans ces circonstances, le risque vital lié à la méningite devait être exclu à tout prix, au vu du caractère foudroyant de cette maladie, en particulier chez un enfant en bas âge. Rien ne permet de s'écarter ici des conclusions claires de l'expertise judiciaire sur ce point. Il faut donc retenir qu'en attendant sans investiguer plus avant ou en ne donnant pas des antibiotiques, d'emblée, les médecins responsables de A.G.________ dès son entrée à l'hôpital aux urgences, puis au service de pédiatrie, ont violé leur devoir de prudence, en prenant un risque inexcusable. En effet, L.________ et I.________ avaient envisagé, parmi plusieurs maladies nettement moins graves, la possibilité d'une méningite, maladie mortelle. Même si elles considéraient cette possibilité comme peu probable, voire très peu probable dès lors que A.G.________ avait récupéré sur le plan neurologique (PV. aud. n° 9, l. 421 et 485), elles n'ont néanmoins pas exclu formellement ce doute et, partant, elles ont commis une faute. L'existence de ces doutes dans l'esprit des prévenues est démontrée par plusieurs éléments: le diagnostic différentiel, les téléphones au CHUV, l'examen neurologique de 15 h 30. Le choix de l'inaction est en effet indéfendable dès lors que l'on sait que la méningite peut évoluer de manière foudroyante et que des gestes salvateurs seraient faciles et sûrs (traitement empirique par antibiotiques et/ou examens complémentaires). On doit voir là une violation du devoir de diligence des deux prévenues, qui ont choisi d'oublier leurs doutes, plutôt que d'exclure formellement, une fois pour toutes, la possibilité d'une méningite, dès les premières heures de la prise en charge.</w:t>
      </w:r>
    </w:p>
    <w:p>
      <w:r>
        <w:rPr>
          <w:b/>
        </w:rPr>
        <w:t>E. 5.1.2.3</w:t>
      </w:r>
    </w:p>
    <w:p>
      <w:r>
        <w:t>A supposer que l'on considère qu'au vu de la récupération neurologique constatée, l'attente était possible, il n'en demeure pas moins que la prise de risque qui consistait à ne pas donner immédiatement des antibiotiques ou investiguer devait donner lieu à une vigilance particulière. Or, la possibilité que l'enfant ait une méningite a été oubliée après l'examen neurologique de 15h30-16 heures, comme cela ressort notamment clairement des déclarations des prévenues. Celle que A.G.________ puisse développer cette maladie n'a pas du tout été envisagée par le personnel soignant au cours de l'après-midi et de la soirée. L'infirmière H.________, qui a quitté le service de pédiatrie à 20h, a ainsi dit à sa collègue J.________ que l'enfant était hospitalisée pour une gastro-entérite avec convulsions. Malgré une leucocytose et une CRP déjà élevée en début d'après-midi, cette analyse n'a pas été répétée en fin d'après-midi ou en cours de soirée. De même, aucun examen neurologique complet, tel que celui réalisé par la Dresse L.________ vers 15h30, n'a été reconduit. La surveillance aux heures des paramètres vitaux n'incluait pas un tel examen et aucune investigation complémentaire n'a été ordonnée. De plus, depuis 19 heures, A.G.________ dormait. Son état de conscience n'a pas été évalué. Il était pourtant difficile de faire la distinction entre l'endormissement dû à la médication et celui lié à une infection du système nerveux central. Les problèmes respiratoires n'ont par ailleurs pas été investigués, seul le rhume et le risque de déshydratation étant traités. Tous les signes de détérioration de l'état de A.G.________ (tachycardie, tachypnée, vomissements), même s'ils n'étaient pas en eux-mêmes des signes de méningite, étaient des signaux d'alerte. Or, ils n'ont entraîné aucune réaction, le diagnostic de méningite n'étant plus évoqué. Lorsque la tachypnée est devenue "franchement pathologique" vers 18h-20h, selon les dires du Dr N.________ lui-même (cf. jgt, p. 33), rien n'a été entrepris non plus. Les gestes simples, tels qu'une analyse sanguine, la vérification de l'état de conscience de l'enfant ou un examen neurologique complet, n'ont pas été faits. En tenant compte du diagnostic différentiel et de l'état de l'enfant au cours de l'après-midi, il aurait fallu procéder à des vérifications complémentaires avant 2 heures du matin. Cette surveillance insuffisante mise sur pied par les deux prévenues constitue aussi une violation du devoir de prudence. Pour le surplus, il ne fait pas de doute que les Dresses I.________, médecin cadre, et L.________, médecin cheffe de clinique adjointe, occupaient une position de garantes envers A.G.________, jeune patiente dans l'hôpital où elles étaient de garde. Certes, L.________ n'a travaillé le 13 mai 2009 que de 8h à 18h et on ne saurait lui imputer des manquements aux heures où elle ne travaillait pas. Toutefois, avant de quitter son service, elle n'a pas mis sur pied, avec la Dresse I.________, une surveillance qui permettait d'exclure un risque mortel, risque qui avait été évoqué. Quant à cette dernière, elle n'a, au cours de l'après-midi ou de la soirée, donné aucune instruction pour vérifier l'état de l'enfant qui tienne compte d'une possible méningite. Même lorsque les convulsions ont repris au cours de la nuit, elle a continué à privilégier le diagnostic de virose, sans prévoir l'administration d'antibiotiques d'emblée, malgré l'état neurologique perturbé, avec signes d'asymétrie et trouble de l'état de conscience. Ceux-ci ont été donnés peu après 5 heures du matin, après la mise en œuvre du scanner et de la prise de sang. Contrairement à qu'a retenu le tribunal de première instance, il faut admettre avec l'expert que les mesures nécessaires ont été prises avec retard ou, à tout le moins, qu'elles n'ont pas été exécutées dans le bon ordre, la priorité, une fois l'aggravation de l'état neurologique constatée, étant l'administration d'un antibiotique par intraveineuse.</w:t>
      </w:r>
    </w:p>
    <w:p>
      <w:r>
        <w:rPr>
          <w:b/>
        </w:rPr>
        <w:t>E. 5.1.3</w:t>
      </w:r>
    </w:p>
    <w:p>
      <w:r>
        <w:t>Enfin, il doit exister un rapport de causalité naturelle et adéquate entre le comportement que l’on reproche à l’auteur et le décès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131 IV145 c. 5.1; ATF 127 IV 62 c. 2d; ATF 126 IV 13 c. 7a/bb et les arrêts cités).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[éd.], op.cit., n. 12 ad art. 117 CP ainsi que les références citées). En l'occurrence, le lien de causalité est établi à satisfaction de droit, selon un haut degré de vraisemblance. En effet, selon l'expert, il est plus que probable qu'en cas de diagnostic rapide de méningite bactérienne, le décès aurait pu être évité; il relève que selon les études à ce sujet, le seuil de létalité d'une méningite à pneumocoques est entre 5-30% et, en Suisse, en dessous de 10%. Des conséquences neurologiques subséquentes tardives surviennent auprès de 25-50% des survivants (cf. P. 74/3, R. ad Q.17). Il peut aussi être fait référence sur ce point à l'avis du Dr P.________, médecin responsable des soins intensifs de pédiatrie au Centre Hospitalier B.________ qui indique, à la question de savoir si un pneumocoque peut être facilement éradiqué, que si le traitement antibiotique est commencé à temps, il n'a pas de souvenir d'une résistance au traitement au cours de ces 20 dernières années (Cf. PV. aud. n° 10, l. 110 ss). On doit en l'espèce admettre que, si les prévenues ne s'étaient pas contentées, après avoir envisagé la possibilité d'une méningite, de considérer celle-ci comme peu probable, mais avaient pris la peine d'exclure tout risque en donnant des antibiotiques à l'enfant ou en faisant des examens complémentaires, A.G.________ n'aurait selon toute vraisemblance pas succombé à la méningite. Il en va de même en fin d'après-midi et au cours de la soirée, si une surveillance suffisante avait été mise sur pied, qui aurait permis de faire des vérifications et d'administrer des antibiotiques.</w:t>
      </w:r>
    </w:p>
    <w:p>
      <w:r>
        <w:rPr>
          <w:b/>
        </w:rPr>
        <w:t>E. 5.2</w:t>
      </w:r>
    </w:p>
    <w:p>
      <w:r>
        <w:t>Au vu de l'ensemble des éléments qui précèdent, c'est à tort que les premiers juges n'ont pas retenu l'infraction d'homicide par négligence à la charge d'I.________ et de L.________. Les appels du Ministère public ainsi que de B.G.________ et C.________ doivent être admis sur ce point.</w:t>
      </w:r>
    </w:p>
    <w:p>
      <w:r>
        <w:rPr>
          <w:b/>
        </w:rPr>
        <w:t>E. 6</w:t>
      </w:r>
    </w:p>
    <w:p>
      <w:r>
        <w:t>Les prévenues étant reconnues coupables, il appartient à la Cour de céans de fixer la peine à infliger à I.________ et à L.________.</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Pour fixer la peine, le juge dispose d’un large pouvoir d’appréciation. Il y a toutefois violation du droit fédéral lorsque le juge sort du cadre légal, se fonde sur des critères étrangers à la loi, omet de prendre en considération des éléments d’appréciation prévus par cette disposition ou, enfin, si la peine qu’il prononce est exagérément sévère ou clémente au point de constituer un abus du pouvoir d’appréciation (ATF 134 IV 17 c. 2.1; ATF 129 lV 6 c 6.1).</w:t>
      </w:r>
    </w:p>
    <w:p>
      <w:r>
        <w:rPr>
          <w:b/>
        </w:rPr>
        <w:t>E. 6.2</w:t>
      </w:r>
    </w:p>
    <w:p>
      <w:r>
        <w:t>En l'espèce, au vu de l'ensemble des circonstances, la peine symbolique de 30 jours-amende, avec sursis pendant deux ans, proposée par le Ministère public dans son mémoire d'appel, pour chaque prévenue, est adéquate. Compte tenu de leurs moyens financiers respectifs, le montant du jour-amende sera fixé à 100 fr. pour I.________ et à 70 fr. pour L.________.</w:t>
      </w:r>
    </w:p>
    <w:p>
      <w:r>
        <w:rPr>
          <w:b/>
        </w:rPr>
        <w:t>E. 7.1</w:t>
      </w:r>
    </w:p>
    <w:p>
      <w:r>
        <w:t>Aux termes de l’art. 47 CO, le juge peut,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 2a). Pour la perte d’un enfant mineur, les tribunaux allouent généralement à chacun des deux parents une indemnité de 30’000 fr. (cf. Hütte/Ducksch/Guerrero, Die Genugtuung, Eine tabellarische Übersicht über Gerichtsentscheide, 3 e éd., état août 2005, affaires jugées en 2001 ou 2002, III/3 à III/4; affaires jugées de 2003 à 2005, III/4 à III/6; TF 6B_369/2012 du 28 septembre 2012). Des montants supérieurs ont parfois été accordés à des mères de jeunes enfants qui avaient assisté à l’accident, notamment à celle d’un enfant de deux ans et demi, qui s’était, en plus, intensivement occupé de celui-ci durant les neuf mois qui s’étaient écoulés entre l’accident et le décès (cf. Hütte/Ducksch/Guerrero, op. cit., affaires jugées en 2001 et 2002, III/6).</w:t>
      </w:r>
    </w:p>
    <w:p>
      <w:r>
        <w:rPr>
          <w:b/>
        </w:rPr>
        <w:t>E. 7.2</w:t>
      </w:r>
    </w:p>
    <w:p>
      <w:r>
        <w:t>En l'espèce, B.G.________ et C.________ réclament chacun l'octroi d'un montant de 50'000 fr. à titre d'indemnité pour tort moral. Les appelants ont vécu la perte de leur enfant, âgée de seulement onze mois, et portent en eux le terrible sentiment de ne pas avoir su la protéger. Leur souffrance est indicible. Aussi douloureux et marquant que soit le décès d'un enfant, il convient, au vu de l'ensemble des circonstances, et conformément à la jurisprudence, de fixer à 30'000 fr. le montant de l'indemnité allouée à chacun des parents de A.G.________, à titre de réparation du tort moral.</w:t>
      </w:r>
    </w:p>
    <w:p>
      <w:r>
        <w:rPr>
          <w:b/>
        </w:rPr>
        <w:t>E. 8.1</w:t>
      </w:r>
    </w:p>
    <w:p>
      <w:r>
        <w:t>En définitive, l’appel du Ministère public et celui des parties plaignantes doivent être admis. Le jugement entrepris sera réformé dans le sens des considérants. Vu leur condamnation, les prévenues n'ont plus droit à une indemnité pour la défense de leur intérêts au sens de l'art. 429 al. 1 let. a CPP et devront également supporter les frais de justice de première instance, de 21'300 fr. 30, chacune par moitié.</w:t>
      </w:r>
    </w:p>
    <w:p>
      <w:r>
        <w:rPr>
          <w:b/>
        </w:rPr>
        <w:t>E. 8.2</w:t>
      </w:r>
    </w:p>
    <w:p>
      <w:r>
        <w:t>Vu l'issue de la cause, les frais de la présente procédure, constitués du seul émolument d’arrêt, par 5'690 fr. (art. 21 al. 1 et 2 TFIP [tarif des frais de procédure et indemnités en matière pénale du 28 septembre 2010 ; RSV 312.03.1]), doivent être supportés par I.________ et par L.________, par moitié chacune. S'agissant des frais, le dispositif envoyé aux parties à l'issue de l'audience comporte deux inadvertances manifestes au sens de l'art. 83 CPP qu'il y a lieu de rectifier d'office. En effet, les prévenues n'ont pas à supporter les frais de première instance et d'appel solidairement entre elles, mais chacune pour moitié (cf. ch. VII du jugement de première instance et IV du jugement d'appel).</w:t>
      </w:r>
    </w:p>
    <w:p>
      <w:r>
        <w:rPr>
          <w:b/>
        </w:rPr>
        <w:t>E. 8.3</w:t>
      </w:r>
    </w:p>
    <w:p>
      <w:r>
        <w:t>Les plaignants ont requis l'octroi d'une indemnité de 42'487 fr. 20 pour les dépenses occasionnées par la procédure en première instance. Ils ont également requis l'octroi d'une indemnité de dépens pour la procédure d'appel, qu'ils n'ont cependant pas chiffrée. Aux termes de l'art. 433 CPP, la partie plaignante peut demander au prévenu une juste indemnité pour les dépenses obligatoires occasionnées par la procédure lorsqu'elle obtient gain de cause (al. 1 let. a) ou si le prévenu est astreint au paiement des frais conformément à l’art. 426, al. 2 (al. 1 let. b). La partie plaignante adresse ses prétentions à l’autorité pénale; elle doit les chiffrer et les justifier. Si elle ne s’acquitte pas de cette obligation, l’autorité pénale n’entre pas en matière sur la demande (al. 2). En l'occurrence, compte tenu de l'importance de la cause, l'indemnité requise telle qu'elle résulte de la note d'honoraires établie par Me Cereghetti Zwahlen, conseil de B.G.________ et de C.________ en première instance, par 42'487 fr. 20, est justifiée et doit être allouée au titre des frais de défense engagés en première instance. Elle doit être mise à la charge solidaire des prévenues. Les plaignants, s'ils ont requis l'octroi d'une indemnité en deuxième instance, ne l'ont cependant pas chiffrée, de sorte qu'aucun montant ne doit leur être alloué à ce titre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