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 vom 15. Mai 2014</w:t>
      </w:r>
    </w:p>
    <w:p>
      <w:r>
        <w:t>VD Tribunal cantonal, 2014-05-15, FR</w:t>
      </w:r>
    </w:p>
    <w:p>
      <w:r>
        <w:rPr>
          <w:b/>
        </w:rPr>
        <w:t xml:space="preserve">Quelle: </w:t>
      </w:r>
      <w:r>
        <w:t>https://mcp.opencaselaw.ch/entscheid/vd_findinfo_Jug___2015___2</w:t>
      </w:r>
    </w:p>
    <w:p>
      <w:r>
        <w:t>FR: VD_FINDINFO Jug / 2015 / 2 du 15 mai 2014</w:t>
      </w:r>
    </w:p>
    <w:p>
      <w:r>
        <w:t>IT: VD_FINDINFO Jug / 2015 / 2 del 15 maggio 2014</w:t>
      </w:r>
    </w:p>
    <w:p>
      <w:pPr>
        <w:pStyle w:val="Heading2"/>
      </w:pPr>
      <w:r>
        <w:t>Regeste</w:t>
      </w:r>
    </w:p>
    <w:p>
      <w:r>
        <w:t>COMMERCE DE STUPÉFIANTS, CAS GRAVE, AMPHÉTAMINE, FIXATION DE LA PEINE, SURSIS PARTIEL À L'EXÉCUTION DE LA PEINE, RÉVOCATION DU SURSIS | 43 CP, 46 CP, 47 CP, 19 ch. 2 let. a LStup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l’appel du Ministère public ainsi que l’appel joint de N.________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 Ministère public soutient que la peine infligée au prévenu est trop clémente.</w:t>
      </w:r>
    </w:p>
    <w:p>
      <w:r>
        <w:rPr>
          <w:b/>
        </w:rPr>
        <w:t>E. 3.1.1</w:t>
      </w:r>
    </w:p>
    <w:p>
      <w:r>
        <w:t>Les règles générales régissant la fixation de la peine ont été rappelées dans les arrêts publiés aux ATF 136 IV 55 et 134 IV 17 (c. 2.1 et les références citées),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6B_632/2014 du 27 octobre 2014 c. 1.2 et les références citées; TF 6B_85/2013 du 4 mars 2013 c. 3.1; TF 6B_380/2008 du 4 août 2008 c. 6.1.1).</w:t>
      </w:r>
    </w:p>
    <w:p>
      <w:r>
        <w:rPr>
          <w:b/>
        </w:rPr>
        <w:t>E. 3.1.2</w:t>
      </w:r>
    </w:p>
    <w:p>
      <w:r>
        <w:t>Commet une infraction grave à la LStup notamment celui-ci qui sait ou ne peut ignorer que l'infraction peut directement ou indirectement mettre en danger la santé de nombreuses personnes; cette infraction est passible d'une peine privative de liberté d'un an au moins et peut être cumulée avec une peine pécuniaire (art. 19 al. 2 let. a LStup). Dans un arrêt du 21 avril 1999, le Tribunal fédéral a considéré qu’il ne pouvait y avoir de cas grave en matière d’ecstasy (ATF 125 IV 90 c. 3). S’agissant de l’amphétamine, le seuil de gravité a été fixé à 36 g (ATF 113 IV 35). Les juges fédéraux ne se sont toutefois pas encore prononcés sur le commerce de pilules thaïes, lesquelles contiennent de la méthamphétamine, soit une substance plus puissante et donc plus dangereuse que l’amphétamine (cf. communiqué du 17 mars 2000 du Département fédéral de justice et police, P. 6/1). La Cour de cassation du Tribunal cantonal neuchâtelois a admis, dans un jugement du 22 août 2006, que le cas grave pour ce type de trafic était réalisé à partir de 36 g purs de méthamphétamine (P. 6/3). Selon un rapport de juin 2010 établi par la section de toxicologie de la société suisse de médecine légale (P. 6/2, annexe 2), il y a mise en danger de nombreuses personnes en cas de mise en circulation de 12 g de méthamphétamine. Dans la mesure où une pilule thaïe contient en moyenne 0,024 g de méthamphétamine, une telle quantité correspond à un seuil de 500 pilules (cf. recommandation du 23 septembre 2010 de la conférence des autorités de poursuite pénale de la Suisse romande et du Tessin, commission stupéfiants; P. 6/2).</w:t>
      </w:r>
    </w:p>
    <w:p>
      <w:r>
        <w:rPr>
          <w:b/>
        </w:rPr>
        <w:t>E. 3.2</w:t>
      </w:r>
    </w:p>
    <w:p>
      <w:r>
        <w:t>En l’espèce, N.________ s’est rendu coupable d’infraction grave à la Loi fédérale sur les stupéfiants au sens de l’art. 19 al. 2 let. a LStup (dans sa version actuelle, l’ancienne disposition ne lui étant pas plus favorable), ce qui n’est au demeurant pas contesté. La quantité de drogue mise à sa charge, soit 530 pilules thaïes, est importante et celui-ci ne pouvait ignorer la dangerosité du produit, ne serait-ce par sa précédente condamnation et sa propre consommation. Cela étant, il sera tenu compte du fait que son trafic se situe à la limite inférieure du seuil de gravité. Pour le reste, il faut encore retenir, à charge, la récidive commise immédiatement après une condamnation pour le même type d’infraction et les antécédents en matière de circulation routière. A décharge, l’appelant se prévaut de l’art. 19 al. 3 let. b LStup lequel prévoit une atténuation de peine lorsque l’auteur est toxico-dépendant et que la commission de l’infraction est destinée à financer sa propre consommation. Si cette disposition semble avoir été appliquée par les premiers juges bien qu’ils ne l’aient pas expressément citée (jgt., p. 14), son application doit néanmoins être notablement relativisée. Certes, l’appelant était lui-même consommateur. Toutefois, il n’est pas établi ni véritablement soutenu que ce dernier était toxico-dépendant. Sa consommation n’a par ailleurs porté que sur une partie de la période concernée par le trafic. Enfin, ses déclarations sur la question du financement ne sont pas si claires : il a en effet admis devant les premiers juges que son commerce ne visait pas uniquement à financer sa consommation, mais également à rendre service à sa communauté à une époque où il vivait aux crochets de celle-ci (jgt., p. 4). Pour le reste, il sera retenu, comme élément à décharge, le fait que les activités délictueuses du prévenu ont cessé avant son interpellation de juillet 2012 ainsi que sa stabilisation socioprofessionnelle. Quant à sa collaboration, elle ne saurait être prise en considération dès lors qu’elle n’a pas été bonne. Au vu de ces éléments, notamment de la récidive et des antécédents, on ne saurait s’en tenir comme l’ont fait les premiers juges à la peine minimale d’un an prévue à l’art. 19 al. 2 LStup. Tout bien considéré, une privation de liberté de 15 mois réprime adéquatement les agissements du prévenu. La détention avant jugement sera déduite de cette peine. Enfin, l'amende de 500 fr. réprimant la contravention à la LStup et la peine privative de liberté de substitution de cinq jours, qui ne sont au demeurant pas contestées, sont adéquates et doivent être confirmées.</w:t>
      </w:r>
    </w:p>
    <w:p>
      <w:r>
        <w:rPr>
          <w:b/>
        </w:rPr>
        <w:t>E. 4</w:t>
      </w:r>
    </w:p>
    <w:p>
      <w:r>
        <w:t>Estimant que le pronostic à poser quant à son comportement futur est « extrêmement » favorable, l’appelant requiert l’octroi du sursis complet.</w:t>
      </w:r>
    </w:p>
    <w:p>
      <w:r>
        <w:rPr>
          <w:b/>
        </w:rPr>
        <w:t>E. 4.1</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ATF 135 IV 180 c. 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5.3.1; ATF 135 IV 180 c. 2.1).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 TF 6B_713/2007 du 4 mars 2008 c. 2.1).</w:t>
      </w:r>
    </w:p>
    <w:p>
      <w:r>
        <w:rPr>
          <w:b/>
        </w:rPr>
        <w:t>E. 4.2</w:t>
      </w:r>
    </w:p>
    <w:p>
      <w:r>
        <w:t>En l’espèce, les premiers juges ont retenu que la faute et la culpabilité du prévenu étaient importantes. Ils ont notamment relevé que celui-ci avait agi pendant une période conséquente, que ses actes étaient objectivement graves, qu’il avait persisté dans son activité délictueuse malgré une précédente condamnation assortie du sursis – condamnation qui n’était au demeurant pas son seul antécédent –, et qu’il ne semblait pas avoir réellement et sincèrement pris conscience de la gravité de ses actes et de leurs conséquences. Ils ont cependant pris acte de l’apparente stabilité socioprofessionnelle de l’intéressé et du fait que celui-ci avait cessé toute consommation, en relevant toutefois à cet égard qu’en cas de rechute, le risque de récidive était patent. Sur la base de ces éléments, le tribunal correctionnel a considéré que le sursis partiel était approprié. Le Cour de céans reprend à son compte l’argumentation pertinente des premiers juges. Au vu de la récidive immédiate commise par le prévenu, de ses condamnations en matière de circulation routière, de sa collaboration très moyenne et de sa légère prise de conscience, le sursis total est exclu. Cela étant, il faut prendre acte de son évolution particulièrement positive, notamment sur le plan professionnel, depuis 2012 et admettre que le pronostic à poser quant à son comportement futur n’est pas totalement défavorable. L’appelant doit par conséquent être mis au bénéfice du sursis partiel, ce qui n’est au demeurant pas contesté par le Ministère public. Compte tenu de sa stabilisation socioprofessionnelle avérée, la partie à exécuter doit être arrêtée au minimum légal de 6 mois. Le délai d’épreuve sera quant à lui fixé à 5 ans.</w:t>
      </w:r>
    </w:p>
    <w:p>
      <w:r>
        <w:rPr>
          <w:b/>
        </w:rPr>
        <w:t>E. 5</w:t>
      </w:r>
    </w:p>
    <w:p>
      <w:r>
        <w:t>Le Ministère public estime que le sursis accordé au prévenu le 9 juillet 2009 doit être révoqué.</w:t>
      </w:r>
    </w:p>
    <w:p>
      <w:r>
        <w:rPr>
          <w:b/>
        </w:rPr>
        <w:t>E. 5.1</w:t>
      </w:r>
    </w:p>
    <w:p>
      <w:r>
        <w:t>En vertu de l' art. 46 CP , si, durant le délai d'épreuve, le condamné commet un crime ou un délit et qu'il y a dès lors lieu de prévoir qu'il commettra de nouvelles infractions, le juge révoque le sursis ou le sursis partiel (al. 1, 1 ère phrase). S'il n'y a pas lieu de prévoir que le condamné commettra de nouvelles infractions, le juge renonce à ordonner la révocation (al. 2, 1 ère phrase).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 TF 6B_163/2011 du 24 novembre 2011 c. 3.2).</w:t>
      </w:r>
    </w:p>
    <w:p>
      <w:r>
        <w:rPr>
          <w:b/>
        </w:rPr>
        <w:t>E. 5.2</w:t>
      </w:r>
    </w:p>
    <w:p>
      <w:r>
        <w:t>En l’espèce, le raisonnement du Ministère public ne peut pas être suivi. Comme indiqué ci-dessus, le pronostic posé quant au comportement futur de l’intéressé n’est pas totalement défavorable – ce que l’appelant admet lui-même –, de sorte que la révocation des sursis antérieurs ne se justifie pas. L’exécution d’une partie de la nouvelle peine étant suffisante pour atteindre l’effet dissuasif escompté, il serait d’ailleurs incohérent de soutenir parallèlement que l’exécution de la peine infligée en 2009 serait nécessaire.</w:t>
      </w:r>
    </w:p>
    <w:p>
      <w:r>
        <w:rPr>
          <w:b/>
        </w:rPr>
        <w:t>E. 6</w:t>
      </w:r>
    </w:p>
    <w:p>
      <w:r>
        <w:t>En définitive, l’appel du Ministère public doit être partiellement admis et l’appel joint de N.________ rejeté. Le jugement entrepris sera modifié aux chiffres II et III de son dispositif en ce sens que le prévenu est condamné à une peine privative de liberté de 15 mois, dont 6 mois ferme, et que le délai d’épreuve est fixé à 5 ans. Pour le surplus, le jugement attaqué doit être confirmé.</w:t>
      </w:r>
    </w:p>
    <w:p>
      <w:r>
        <w:rPr>
          <w:b/>
        </w:rPr>
        <w:t>E. 7</w:t>
      </w:r>
    </w:p>
    <w:p>
      <w:r>
        <w:t>Vu l’issue de la cause, les frais de la procédure d’appel, constitués de l'émolument de jugement, par 1’610 fr., et de l'indemnité allouée au défenseur d'office, par 1'843 fr. 80, débours et TVA compris, doivent être mis par moitié à la charge de N.________. Ce dernier ne sera tenu de rembourser à l’Etat la moitié du montant de l'indemnité d’office précitée que lorsque sa situation financière le permettra (art. 135 al. 4 let. a CPP).</w:t>
      </w:r>
    </w:p>
    <w:p>
      <w:r>
        <w:rPr>
          <w:b/>
        </w:rPr>
        <w:t>E. 8</w:t>
      </w:r>
    </w:p>
    <w:p>
      <w:r>
        <w:t>Il s’avère que le dispositif communiqué à l’audience d’appel est entaché d’une erreur manifeste à son chiffre VII en tant qu’il prononce le caractère exécutoire du jugement alors même qu’une peine privative de liberté a été prononcée à l’encontre du prévenu. Or, les recours au Tribunal fédéral dirigés contre une décision prononçant une peine privative de liberté ferme, y compris avec sursis partiel, ont de plein droit un effet suspensif (cf. art. 103 al. 1 et 2 let. b LTF; Thommen in : Niggli/Uebersax/Wiprächtiger, Basler Kommentar, Bundesgerichtsgesetz, 2. Aufl., Bâle 2011, n. 19 ad art. 103 LTF). Par conséquent, en application de l’art. 83 CPP, le chiffre VII du dispositif doit être supprimé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