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196 vom 10. Dezember 2014</w:t>
      </w:r>
    </w:p>
    <w:p>
      <w:r>
        <w:t>VD Tribunal cantonal, 2014-12-10, FR</w:t>
      </w:r>
    </w:p>
    <w:p>
      <w:r>
        <w:rPr>
          <w:b/>
        </w:rPr>
        <w:t xml:space="preserve">Quelle: </w:t>
      </w:r>
      <w:r>
        <w:t>https://mcp.opencaselaw.ch/entscheid/vd_findinfo_Jug___2015___196</w:t>
      </w:r>
    </w:p>
    <w:p>
      <w:r>
        <w:t>FR: VD_FINDINFO Jug / 2015 / 196 du 10 décembre 2014</w:t>
      </w:r>
    </w:p>
    <w:p>
      <w:r>
        <w:t>IT: VD_FINDINFO Jug / 2015 / 196 del 10 dicembre 2014</w:t>
      </w:r>
    </w:p>
    <w:p>
      <w:pPr>
        <w:pStyle w:val="Heading2"/>
      </w:pPr>
      <w:r>
        <w:t>Regeste</w:t>
      </w:r>
    </w:p>
    <w:p>
      <w:r>
        <w:t>ADMINISTRATION DES PREUVES, PRÉSOMPTION D'INNOCENCE, DROIT DE GARDER LE SILENCE, IN DUBIO PRO REO, CONTRAINTE{DROIT PÉNAL}, CONTRAINTE SEXUELLE, VIOL, IRRESPONSABILITÉ, RESPONSABILITÉ RESTREINTE{DROIT PÉNAL}, FIXATION DE LA PEINE, SURSIS PARTIEL À L'EXÉCUTION DE LA PEINE, DIRECTIVE{INJONCTION} | 189 al. 1 CP, 19 al. 1 CP, 19 al. 2 CP, 190 al. 1 CP, 43 al. 1 CP, 44 al. 2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w:t>
      </w:r>
    </w:p>
    <w:p>
      <w:r>
        <w:rPr>
          <w:b/>
        </w:rPr>
        <w:t>E. 3</w:t>
      </w:r>
    </w:p>
    <w:p>
      <w:r>
        <w:t>À titre de mesure d’instruction, l’appelant sollicite la mise en œuvre d’une expertise psychiatrique complémentaire. Il fait valoir que l’expertise du 14 novembre 2013 est en contradiction avec les divers rapports établis par son psychiatre traitant, le Dr [...]. Par ailleurs, il relève que l’expertise aurait été confiée à une psychologue et non à un médecin psychiatre comme l’exige la jurisprudence du Tribunal fédéral.</w:t>
      </w:r>
    </w:p>
    <w:p>
      <w:r>
        <w:rPr>
          <w:b/>
        </w:rPr>
        <w:t>E. 3.1</w:t>
      </w:r>
    </w:p>
    <w:p>
      <w:r>
        <w:t>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 L'immédiateté des preuves ne s'impose ainsi pas en instance d'appel (TF 6B_78/2012 op. cit. c. 3.1). L'autorité de recours peut notamment refuser des preuves nouvelles, lorsqu'une administration anticipée de ces preuves démontre qu'elles ne seront pas de nature à modifier le résultat de celles déjà administrées (ATF 136 I 229 c. 5.3). Il y a notamment lieu à un complément d'expertise ou à une nouvelle expertise lorsque les conclusions de deux ou plusieurs expertises, privées ou judiciaires, divergent notablement (art. 189 let. b CPP). Un complément d'expertise ou une nouvelle expertise peuvent également être mis en oeuvre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(TF 6B_590/2013 du 22 octobre 2014 c.1.1 et la doctrine citée). En principe, seul un médecin spécialiste en psychiatrie et psychothérapie doit être autorisé à réaliser une expertise psychiatrique au sens des art. 20 et 56 al. 3 CP (ATF 140 IV 49, JT 2014 IV 281 c. 2.7).</w:t>
      </w:r>
    </w:p>
    <w:p>
      <w:r>
        <w:rPr>
          <w:b/>
        </w:rPr>
        <w:t>E. 3.2</w:t>
      </w:r>
    </w:p>
    <w:p>
      <w:r>
        <w:t>En l’occurrence, un complément d’expertise n’est pas nécessaire au traitement de l’appel. En effet, lors des débats de première instance, les rapports médicaux du Dr [...] ont été soumis à l’expert, qui a alors pu se prononcer sur leur contenu. Par ailleurs, aucune réelle contradiction ne peut être mise en évidence entre l’expertise et les rapports médicaux précités, l’expert admettant en effet une phase de stabilisation (cf. P. 43, p. 9). Certes, celui-ci a déclaré, lors des débats de première instance, qu’« une expertise est utile à connaître la situation actuelle » (jgt., p. 15); cette déclaration est toutefois sans pertinence dès lors que l’expertise avait pour but de déterminer la responsabilité pénale au moment des faits. Il n’est dès lors pas nécessaire d’être au clair sur l’ampleur de la rémission actuelle et sur son caractère définitif. Au surplus, comme il sera relevé ci-dessous, le pronostic à poser quant au comportement futur du prévenu ne repose pas uniquement sur le risque de récidive que celui-ci pourrait présenter. Enfin, contrairement à ce que semble croire l’appelant, l’expertise psychiatrique, qui a certes été réalisée avec la contribution d’une psychologue, a été supervisée par un médecin psychiatre, qui avait les compétences requises et à qui le mandat avait bien été confié (cf. P. 28). La défense n’a d’ailleurs formulé aucune objection contre l’avis de désignation d’expert dans le délai imparti à cet effet (cf. P. 30). Sur le vu de ce qui précède, la réquisition de preuve de l’appelant doit être rejetée.</w:t>
      </w:r>
    </w:p>
    <w:p>
      <w:r>
        <w:rPr>
          <w:b/>
        </w:rPr>
        <w:t>E. 4</w:t>
      </w:r>
    </w:p>
    <w:p>
      <w:r>
        <w:t>L’appelant conteste avoir entretenu des relations sexuelles – anales, vaginales ou buccales – avec W.________ sans son consentement, ainsi que toute autre pratique sexuelle non consentie. Invoquant une violation de la présomption d’innocence, il soutient que les premiers juges ont retenu en sa défaveur le fait qu’il ait fait usage de son droit au silence lors de son audition devant la Procureure. Il leur fait également grief d’avoir suivi la plaignante dans ses déclarations; or, le silence de celle-ci pendant de nombreuses années ainsi que la chronologie des événements depuis le règlement du droit de visite et le dépôt de la plainte pénale auraient dû les amener à douter de leur véracité.</w:t>
      </w:r>
    </w:p>
    <w:p>
      <w:r>
        <w:rPr>
          <w:b/>
        </w:rPr>
        <w:t>E. 4.1.1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4.1.2</w:t>
      </w:r>
    </w:p>
    <w:p>
      <w:r>
        <w:t>Selon l’art. 113 al. 1 CPP, le prévenu n’a pas l’obligation de déposer contre lui-même. Il a notamment le droit de refuser de déposer et de refuser de collaborer à la procédure. Il est toutefois soumis de se soumettre aux mesures de contrainte prévues par la loi. Le droit de se taire et de ne pas témoigner contre soi-même découle directement de la présomption d'innocence. Ce droit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1P.641/2000 du 24 avril 2001 c. 3; arrêt de la Cour européenne des droits de l'homme, affaire Murray c. Royaume-Uni du 8 février 1996, Recueil CourEDH 1996-I p. 30, ch. 47; TF 6B_562/2010 du 28 octobre 2010 c. 2.1.3).</w:t>
      </w:r>
    </w:p>
    <w:p>
      <w:r>
        <w:rPr>
          <w:b/>
        </w:rPr>
        <w:t>E. 4.2</w:t>
      </w:r>
    </w:p>
    <w:p>
      <w:r>
        <w:t>En l’espèce, les faits s’étant passés à huis clos, la cour de céans ne dispose pas de nombreux éléments pour les apprécier. Les actes ont été dénoncés huit ans après leur survenance. Le prévenu a été entendu à trois reprises; il a toutefois refusé de s’expliquer lors de son audition devant la Procureure en faisant valoir son droit au silence (PV aud. 5) et a refusé de signer le procès-verbal d’audition lors des débats de première instance (jgt., p. 8-12). Avec l’appelant, il faut constater qu’aucune contradiction ne peut être mise en évidence dans ses déclarations. Cela étant, il existe d’autres éléments au dossier corroborant la réalité des faits dénoncés, notamment les contraintes répétées. Ainsi, le récit de la plaignante figurant dans sa plainte pénale, qui a certes été déposée plusieurs années après les faits et n’a manifestement pas été rédigée avec le concours d’un avocat (P. 4), frappe par sa spontanéité et par l’abondance des détails. Entendue par la police le 4 septembre 2012, l’intéressée a confirmé de manière tout aussi précise les faits dénoncés, en admettant avoir consenti à certaines relations sexuelles, respectivement l’absence de refus clair (PV aud. 2). Aux débats de première instance, la plaignante n’a pas varié dans ses déclarations. Or, une personne cherchant à nuire à un ancien compagnon ou à induire la justice en erreur ne fournirait pas des explications aussi détaillées et constantes. Certes, il peut arriver que, ensuite d’une liaison conduisant à la naissance d’un enfant, une mère cherche à restreindre, voire à supprimer le droit de visite du père. Toutefois, dans le cas d’espèce, si la plainte a bien été déposée après que le prévenu a obtenu un droit de visite (P. 80, annexe 10), la plaignante, pendant plusieurs années, s’est rendue régulièrement au domicile des parents de celui-ci pour lui permettre de voir son fils; ce n’est qu’après avoir consulté une psychologue en septembre 2011 qu’elle a pris conscience des violences subies et a décidé d’entreprendre des démarches pénales. Les circonstances du dévoilement doivent également être prises en compte pour apprécier les déclarations de la plaignante. En effet, son compagnon de l’époque, qui a pu observer les problèmes relationnels qu’elle rencontrait (réactions de crainte, réveils en sursaut, peur de s’engager dans une relation), l’a encouragée à se confier à lui; elle lui a alors raconté au fur et à mesure les violences dont elle avait été victime et a finalement décidé de consulter un spécialiste, puis de déposer plainte (jgt., p. 21). Par ailleurs, dans son rapport du 26 septembre 2012 établi sur demande de la procureure (P. 19), la psychologue de la plaignante a posé le diagnostic de syndrome post-traumatique occasionné par la violence et l’emprise que V.________ exerçait sur W.________. Elle a précisé que cette dernière présentait un sentiment de culpabilité ainsi qu’un syndrome de Stockholm, qui s’étaient manifestés par la soumission et la peur consécutives produites par son abuseur. Selon elle, les séquelles occasionnées étaient difficilement réversibles. Les SMS envoyés en 2009 par l’appelant à l’intimée (P. 6/2) corroborent également la version de la plaignante. Leur contenu met en effet en évidence la manipulation, la violence, le mépris, la contrainte ainsi que les menaces du prévenu à l’égard de la victime. Celui-ci est d’ailleurs allé jusqu’à y relater, de manière sordide, l’épisode du tube de nivea. Enfin, le mode de fonctionnement de l’appelant au regard de sa maladie, tel que décrit dans l’expertise, correspond aux actes de violence et de contrainte décrits par la plaignante. Le prévenu a d’ailleurs expliqué à l’expert qu’il était demeuré lucide quant au caractère violent et interdit de ses comportements envers son ancienne petite amie (P. 43, p. 3). Sur le vu de ce qui précède, la plaignante doit être suivie dans ses déclarations, qui ont été constantes et précises malgré l’ancienneté des faits. Il n’existe ainsi aucun doute quant à la réalité des actes sexuels subis tels que retenus par les premiers juges.</w:t>
      </w:r>
    </w:p>
    <w:p>
      <w:r>
        <w:rPr>
          <w:b/>
        </w:rPr>
        <w:t>E. 5</w:t>
      </w:r>
    </w:p>
    <w:p>
      <w:r>
        <w:t>L’appelant conteste sa condamnation pour contrainte sexuelle et viol.</w:t>
      </w:r>
    </w:p>
    <w:p>
      <w:r>
        <w:rPr>
          <w:b/>
        </w:rPr>
        <w:t>E. 5.1</w:t>
      </w:r>
    </w:p>
    <w:p>
      <w:r>
        <w:t>Tout d’abord, s’agissant de l’infraction de viol, il fait valoir que la plaignante se serait plainte uniquement de relations anales – et non vaginales – non consenties. Il se prévaut notamment de la déclaration de cette dernière lors des débats de première instance selon laquelle « vaginalement, j’étais d’accord, mais analement c’était une punition » (jgt., p. 13). L’appelant ne peut pas être suivi dans son argumentation. La déclaration de la plaignante doit en effet être replacée dans son contexte. Ainsi, c’est uniquement pour expliquer que les pénétrations anales étaient une punition que la plaignante a précisé qu’elle était le plus souvent d’accord avec celles vaginales. Cette explication n’exclut donc pas la contrainte pour d’autres relations. A cet égard, il est rappelé que la plaignante a confirmé les quatre cas relatés dans l’acte d’accusation, lesquels comprennent des actes de pénétration vaginale forcée, que ce soit en raison de l’endroit où ils ont eu lieu (cas n° 3 de l’acte d’accusation) ou de la violence exercée lors de ceux-ci (cas n° 4 de l’acte d’accusation).</w:t>
      </w:r>
    </w:p>
    <w:p>
      <w:r>
        <w:rPr>
          <w:b/>
        </w:rPr>
        <w:t>E. 5.2</w:t>
      </w:r>
    </w:p>
    <w:p>
      <w:r>
        <w:t>L’appelant estime que l’élément constitutif de la contrainte n’est pas réalisé.</w:t>
      </w:r>
    </w:p>
    <w:p>
      <w:r>
        <w:rPr>
          <w:b/>
        </w:rPr>
        <w:t>E. 5.2.1</w:t>
      </w:r>
    </w:p>
    <w:p>
      <w:r>
        <w:t>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L’art. 189 CP suppose les mêmes moyens et la même situation de contrainte que l’art. 190 CP (ATF 119 IV 309 c. 7b). Il n'est pas nécessaire que la victime soit mise hors d'état de résister ou que l'auteur la maltraite physiquement. Une certaine intensité est néanmoins requise (ATF 87 IV 68). Selon les circonstances, un déploiement de force relativement faible peut suffire, notamment le fait de maintenir la victime avec la force de son corps, de la renverser à terre, de lui arracher ses habits ou de lui tordre un bras derrière le dos (TF 6B_570/2012 du 26 novembre 2012 c. 1.2; TF 6S.126/2007 du 7 juin 2007 c. 6.2). En introduisant la notion de pressions psychiques, le législateur a voulu viser les cas où la victime se trouve dans une situation désespérée, sans pour autant que l'auteur ait recouru à la force physique. Pour déterminer si l’on se trouve en présence d’une contrainte sexuelle, il faut procéder à une appréciation globale des circonstances concrètes déterminantes. Une appréciation individualisée est nécessaire, laquelle doit reposer sur des éléments suffisamment typiques. C’est notamment le cas lorsque l’auteur provoque chez la victime des effets d’ordre psychique, tels que la surprise, la frayeur ou le sentiment d’une situation sans espoir propres à la faire céder et la rendant incapable de s'opposer à des atteintes sexuelles (ATF 128 IV 106 c.3a/bb; ATF 122 IV 97 c. 2b et les références citées; TF 6B_570/2012 du 26 novembre 2012 c.1.3).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Dans un arrêt 6B_822/2014 du 8 janvier 2015 (c. 3.2), le Tribunal fédéral a considéré ce qui suit : la peur et l'angoisse que la partie plaignante ressentait l'empêchaient de s'opposer activement à des actes sexuels non consentis; ces considérations mettent suffisamment en évidence, au sein du couple, une situation d'intimidation, assimilable à une tyrannie permanente ( ATF 131 IV 167 c. 3.1), permettant d'expliquer pourquoi la partie plaignante se trouvait dans une situation sans espoir propre à la faire céder (ATF 128 IV 106 c. 3a/bb; 122 IV 97 c. 2b), de sorte que l'on ne pouvait pas attendre d'elle de résistance au moment des faits (ATF 131 IV 167 c. 3.1 et les références citées).</w:t>
      </w:r>
    </w:p>
    <w:p>
      <w:r>
        <w:rPr>
          <w:b/>
        </w:rPr>
        <w:t>E. 5.2.2</w:t>
      </w:r>
    </w:p>
    <w:p>
      <w:r>
        <w:t>En l’occurrence, il est établi que de nombreux actes relevaient de la violence physique. Il en va ainsi de la pénétration après que le prévenu a arraché le string de sa compagne, de la fellation en tenant la tête de celle-ci contre son sexe, de l’introduction du tube de nivea dans l’anus de celle-ci après l’avoir giflée et des fessées infligées lorsqu’elle refusait des relations. Il est également établi que le prévenu faisait régulièrement recours à la violence physique et psychique; la contrainte résultait donc également de la crainte que la victime pouvait avoir de devoir subir de nouveaux actes violents. En outre, il résulte non seulement de l’attitude de l’appelant mais également de la souffrance de la victime que le premier a profité de l’emprise qu’il avait sur celle-ci – en raison notamment de son âge, de son inexpérience, de son amour ou encore de sa peur d’être abandonnée – pour assouvir ses pulsions comme il le voulait, où il voulait et quand il le voulait; les circonstances de la jurisprudence précitée relative à la violence structurelle réactualisée (ATF 131 IV 107 c. 2.2) sont ainsi également réalisées dans le cas d’espèce. Enfin, l’appelant ne saurait être suivi lorsqu’il soutient que le fait qu’il ne vivait pas sous le même toit avec sa compagne excluait une situation de tyrannie permanente telle que celle retenue dans l’arrêt du Tribunal fédéral 6B_822/2014 précité. Certes, il est constant que, week-end après week-end, la jeune fille revenait vers son tourmenteur. Cela n’exclut toutefois pas encore l’existence d’une tyrannie permanente. En effet, compte tenu des circonstances précitées, la jeune fille croyait que les violences, insultes et contraintes étaient normales dans une relation amoureuse; c’est uniquement plusieurs années plus tard que sa souffrance s’est avérée être telle qu’elle a réalisé que, précisément, cette tyrannie était anormale. C’est donc à bon droit que les premiers juges ont retenu que l’élément de la contrainte était réalisé.</w:t>
      </w:r>
    </w:p>
    <w:p>
      <w:r>
        <w:rPr>
          <w:b/>
        </w:rPr>
        <w:t>E. 5.3</w:t>
      </w:r>
    </w:p>
    <w:p>
      <w:r>
        <w:t>L’appelant conteste enfin la réalisation de l’élément subjectif de la contrainte. Il fait valoir qu’il était improbable qu’il ait voulu ou accepté de contraindre sa compagne à subir des actes sexuels qu’elle aurait refusés. En l’occurrence, si l’expert a admis une capacité restreinte de se déterminer, il a en revanche retenu que l’appelant était conscient de l’illicéité de ses actes. Les SMS que celui-ci a adressé à sa compagne (P. 6/2) l’attestent également. L’appelant a certes pu trouver cette contrainte normale; il ne peut toutefois soutenir que les insultes, les coups et les pressions ne représentaient pas pour lui une manière d’obtenir ce qu’il n’aurait pas eu (par ex. les sodomies) ou pas obtenu à l’endroit et au moment où il le voulait (notamment certaines fellations ou pénétrations vaginales). Dans ces conditions, il faut admettre que l’appelant savait pertinemment ce qu’il faisait.</w:t>
      </w:r>
    </w:p>
    <w:p>
      <w:r>
        <w:rPr>
          <w:b/>
        </w:rPr>
        <w:t>E. 5.4</w:t>
      </w:r>
    </w:p>
    <w:p>
      <w:r>
        <w:t>Sur le vu de ce qui précède, la condamnation de V.________ pour contrainte sexuelle et viol doit être confirmée, tous les éléments constitutifs de ces infractions étant remplis.</w:t>
      </w:r>
    </w:p>
    <w:p>
      <w:r>
        <w:rPr>
          <w:b/>
        </w:rPr>
        <w:t>E. 6</w:t>
      </w:r>
    </w:p>
    <w:p>
      <w:r>
        <w:t>S’agissant des cas n° 2 et 3 de l’acte d’accusation concernant les infractions commises les 12 et 13 octobre 2011, à savoir la violence ou menace contre les autorités et les fonctionnaires, d’opposition ou dérobade aux mesures visant à déterminer l’incapacité de conduire et de conduite malgré un retrait de permis, l’appelant plaide l’irresponsabilité totale. A l’appui de son grief, il se prévaut du rapport établi le 18 mai 2012 par les médecins de Cery (Dossier B, P. 12) dont il ressort qu’à la mi-octobre 2011, il n’avait pas la capacité de se déterminer. Les premiers juges ont écarté cette pièce au motif que le rapport d’expertise était fondé sur une étude plus approfondie et plus précise du prévenu (jgt., p. 34). Cette assertion ne saurait toutefois être suivie, dès lors que l’attestation du 18 mai 2012 a été établie après une hospitalisation de quatre mois intervenue d’office en raison de l’état psychique grave du prévenu, à savoir une décompensation psychotique. Par ailleurs, l’expertise psychiatrique a été établie deux ans après les faits, de sorte que les experts ne pouvaient pas se faire une idée précise de la situation de l’intéressé en octobre 2011. Enfin, pour établir leur expertise, les médecins se sont prononcés essentiellement sur les infractions contre l’intégrité sexuelle, et non sur les faits ressortant des cas n° 2 et 3 de l’acte d’accusation. Le rapport de 18 mai 2012 ne saurait donc être écarté. Ainsi, en présence d’une attestation de médecins psychiatres dont il résulte, d’une part, que le prévenu était totalement décompensé à la mi-octobre 2011 parce qu’il ne prenait pas ses médicaments et, d’autre part, qu’il n’était pas en mesure de comprendre la portée de ses actes, son irresponsabilité totale doit être retenue s’agissant des cas n° 2 et 3 de l’acte d’accusation. V.________ doit dès lors être libéré des chefs d’accusation de violence ou menace contre les autorités et les fonctionnaires, d’opposition ou dérobade aux mesures visant à déterminer l’incapacité de conduire et de conduite malgré un retrait de permis, l’appel étant partiellement admis dans cette mesure.</w:t>
      </w:r>
    </w:p>
    <w:p>
      <w:r>
        <w:rPr>
          <w:b/>
        </w:rPr>
        <w:t>E. 7</w:t>
      </w:r>
    </w:p>
    <w:p>
      <w:r>
        <w:t>Il reste à examiner la peine à infliger au prévenu.</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pénale(TF 6B_85/2013 du 4 mars 2013 c. 3.1; ATF 134 IV 17 c. 2.1; ATF 129 IV 6 c.</w:t>
      </w:r>
    </w:p>
    <w:p>
      <w:r>
        <w:rPr>
          <w:b/>
        </w:rPr>
        <w:t>E. 7.1.2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auquel il peut être renvoyé. Partant de la gravité objective de l'acte ( objektive Tatschwere ), le juge doit apprécier la faute (subjective; subjektives Tatverschulden ).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il s'agit de diminuer la faute et non la peine; la réduction de la peine n'est que la conséquence de la faute plus légère. Le juge dispose également d'un large pouvoir d'appréciation lorsqu'il détermine l'effet de la diminution de la responsabilité sur la faute au vu de l'ensemble des circonstances. Il peut appliquer l'échelle habituelle : une faute objective très grave peut être réduite à une faute grave en raison d'une diminution légère de la responsabilité. La réduction pour une telle faute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 5.6).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aI. 1 CP (ATF 136 IV 55, JdT 2010 IV 127 c. 5.7).</w:t>
      </w:r>
    </w:p>
    <w:p>
      <w:r>
        <w:rPr>
          <w:b/>
        </w:rPr>
        <w:t>E. 7.1.3</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w:t>
      </w:r>
    </w:p>
    <w:p>
      <w:r>
        <w:rPr>
          <w:b/>
        </w:rPr>
        <w:t>E. 7.2.1</w:t>
      </w:r>
    </w:p>
    <w:p>
      <w:r>
        <w:t>En l’espèce, V.________ s’est rendu coupable d’injure, de menaces, de contrainte sexuelle et de viol. Ces deux dernières infractions sont particulièrement graves. Les faits commis à l’encontre de la victime l’ont été de manière répétée et sur une longue durée. Pour assouvir ses pulsions, le prévenu n’a pas pris en considération les refus de sa compagne. Il a de surcroît profité de l’amour de cette dernière, de son âge et de son inexpérience pour lui imposer des actes sexuels où et quand il le souhait. Les infractions sont en concours. La faute de l’appelant doit ainsi être considérée comme particulièrement grave. Avec les premiers juges, il faut toutefois retenir que la capacité du prévenu à se déterminer quant à ses actes était diminuée dans une mesure moyenne à importante au moment des faits. Compte tenu de cette diminution de responsabilité, sa faute, initialement estimée comme particulièrement grave, doit être qualifiée de moyenne à grave. S’agissant des facteurs liés au prévenu, il sera retenu, à charge, l’absence de prise de conscience, celui-ci persistant à nier toute responsabilité et se positionnant de surcroît en victime de sa compagne qui souhaite le priver de son fils. Il n’a en outre exprimé aucun regret à l’endroit de la plaignante. Son attitude, notamment sa collaboration, en instruction et aux débats n’a pas été bonne. A décharge, il sera tenu compte de son jeune âge au moment des faits ainsi que du temps écoulé depuis ceux-ci. Il sera également pris en considération le fait que la situation du prévenu, lequel suit régulièrement un traitement psychiatrique ambulatoire, semble s’être stabilisée. Ainsi, sur la base des éléments qui précèdent, une peine privative de liberté de 16 mois réprime adéquatement les agissements de V.________.</w:t>
      </w:r>
    </w:p>
    <w:p>
      <w:r>
        <w:rPr>
          <w:b/>
        </w:rPr>
        <w:t>E. 7.2.2</w:t>
      </w:r>
    </w:p>
    <w:p>
      <w:r>
        <w:t>En ce qui concerne le sursis, au vu de la gravité des faits reprochés, du déni massif – encore confirmé aux débats d’appel –, de l’absence de prise de conscience et de son comportement en cours de procédure, le pronostic à poser quant au comportement futur de l’appelant est mitigé. Ainsi, contrairement à ce qu’il semble croire, ce n’est pas uniquement en raison du risque de récidive retenu par l’expert qu’un sursis complet ne peut pas lui être accordé. L’exécution de la peine privative de liberté infligée doit dès lors être suspendue pendant une période de 8 mois. Compte tenu des circonstances précitées, le délai d’épreuve sera fixé au maximum légal. Par ailleurs, pour des motifs de prévention, les règles de conduite assortissant ce délai qui ont été fixées par les premiers juges doivent être confirmées. 8. L’appelant ne conteste pas en tant que telles les prétentions civiles allouées à la plaignante. Compte tenu de sa condamnation et de l’importance de l’atteinte subie par la victime en raison de ses agissements, une indemnité de 15'000 fr., plus intérêt à 5% l’an dès le 1 er janvier 2004, à titre de réparation du tort moral subie, est adéquate et doit être confirmée. Il en va de même du montant de 2'800 fr. alloué à l’intimée en réparation du dommage matériel subi. 9. En définitive, l’appel du prévenu doit être partiellement admis et le jugement entrepris modifié dans le sens des considérants qui précèdent. 10. Vu l’issue de la cause, les frais de la présente procédure, constitués de l’émolument d’arrêt, par 2’820 fr., de l’indemnité allouée au défenseur d'office du prévenu, par 2’489 fr. 40 , TVA et débours compris, et de celle due au conseil d'office de la partie plaignante, par 1’679 fr. 40 , TVA et débours inclus, doivent être mis par deux tiers à la charge de V.________, le solde étant laissé à la charge de l’Etat. Ce dernier ne sera tenu de rembourser à l’Etat les deux tiers des indemnités d’office précitées que lorsque sa situation financière le permettra .</w:t>
      </w:r>
    </w:p>
    <w:p>
      <w:r>
        <w:rPr>
          <w:b/>
        </w:rPr>
        <w:t>E. 11</w:t>
      </w:r>
    </w:p>
    <w:p>
      <w:r>
        <w:t>novembre 2008 c. 6.1; ATF 130 IV 1 c. 2.1; 108 IV 152 c. 3a; 106 IV 325 c. 1). La loi prévoit expressément que la règle de conduite peut porter sur des soins médicaux ou psychiques. Une règle de conduite ordonnant un suivi médical est donc parfaitement admissible (TF 6B_626/2008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