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192 vom 22. Januar 2015</w:t>
      </w:r>
    </w:p>
    <w:p>
      <w:r>
        <w:t>VD Tribunal cantonal, 2015-01-22, FR</w:t>
      </w:r>
    </w:p>
    <w:p>
      <w:r>
        <w:rPr>
          <w:b/>
        </w:rPr>
        <w:t xml:space="preserve">Quelle: </w:t>
      </w:r>
      <w:r>
        <w:t>https://mcp.opencaselaw.ch/entscheid/vd_findinfo_Jug___2015___192</w:t>
      </w:r>
    </w:p>
    <w:p>
      <w:r>
        <w:t>FR: VD_FINDINFO Jug / 2015 / 192 du 22 janvier 2015</w:t>
      </w:r>
    </w:p>
    <w:p>
      <w:r>
        <w:t>IT: VD_FINDINFO Jug / 2015 / 192 del 22 gennaio 2015</w:t>
      </w:r>
    </w:p>
    <w:p>
      <w:pPr>
        <w:pStyle w:val="Heading2"/>
      </w:pPr>
      <w:r>
        <w:t>Regeste</w:t>
      </w:r>
    </w:p>
    <w:p>
      <w:r>
        <w:t>LOI FÉDÉRALE SUR LA CIRCULATION ROUTIÈRE, CONTRAVENTION, CONDAMNATION | 32 LCR, 90 al. 1 LCR, 3 al. 1 OCR, 398 al. 4 CPP (CH)</w:t>
      </w:r>
    </w:p>
    <w:p>
      <w:pPr>
        <w:pStyle w:val="Heading2"/>
      </w:pPr>
      <w:r>
        <w:t>Erwägungen</w:t>
      </w:r>
    </w:p>
    <w:p>
      <w:r>
        <w:rPr>
          <w:b/>
        </w:rPr>
        <w:t>E. 1.1</w:t>
      </w:r>
    </w:p>
    <w:p>
      <w:r>
        <w:t>Interjeté dans les formes et délais légaux (art. 399 CPP) par une partie ayant qualité pour recourir contre le jugement du tribunal de première instance qui a clos la procédure (art. 398 al. 1 CPP), l’appel du Ministère public est recevable.</w:t>
      </w:r>
    </w:p>
    <w:p>
      <w:r>
        <w:rPr>
          <w:b/>
        </w:rPr>
        <w:t>E. 1.2</w:t>
      </w:r>
    </w:p>
    <w:p>
      <w:r>
        <w:t>S'agissant d'un appel dirigé contre une contravention, la procédure écrite est applicable (art. 406 al. 1 let. c CPP) et la cause ressort de la compétence d'un juge unique (art. 14 al. 3 LVCPP [loi vaudoise d'introduction du Code de procédure pénale suisse du 19 mai 2009 ; RSV 312.01]).</w:t>
      </w:r>
    </w:p>
    <w:p>
      <w:r>
        <w:rPr>
          <w:b/>
        </w:rPr>
        <w:t>E. 1.3</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 Kuhn/Jeanneret [éd.],Commentaire romand, Code de procédure pénale suisse, Bâle 2011, n. 22 et 23 ad art. 398 CPP). En l'espèce, seule une contravention à la législation sur la circulation routière a fait l’objet de la procédure de première instance, de sorte que l’appel est restreint.</w:t>
      </w:r>
    </w:p>
    <w:p>
      <w:r>
        <w:rPr>
          <w:b/>
        </w:rPr>
        <w:t>E. 2</w:t>
      </w:r>
    </w:p>
    <w:p>
      <w:r>
        <w:t>L’appelant fait valoir que le prévenu aurait commis, en toute hypothèse, une faute de circulation dès lors qu’il n’avait pas remarqué, avant d’arriver à sa hauteur, la présence au milieu de la route d’un policier habillé d’une chasuble et muni d’une lampe torche, et qu’il ne s’était écarté par la suite qu’au dernier moment.</w:t>
      </w:r>
    </w:p>
    <w:p>
      <w:r>
        <w:rPr>
          <w:b/>
        </w:rPr>
        <w:t>E. 2.1</w:t>
      </w:r>
    </w:p>
    <w:p>
      <w:r>
        <w:t>Aux termes de l'art. 32 al. 1 LCR (loi fédérale du 19 décembre 1958 sur la circulation routière ; RS 741.01), la vitesse doit toujours être adaptée aux circonstances, notamment aux particularités du véhicule et du chargement, ainsi qu'aux conditions de la route, de la circulation et de la visibilité ; aux endroits où son véhicule pourrait gêner la circulation, le conducteur est tenu de circuler lentement et, s'il le faut, de s'arrêter, notamment aux endroits où la visibilité n'est pas bonne, aux intersections qu'il ne peut embrasser du regard, ainsi qu'aux passages à niveau. Selon l’art. 3 al. 1 OCR (ordonnance fédérale du 13 novembre sur les règles de la circulation routière 1962 ; RS 741.11),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La violation simple de cette règle de circulation est punie de l’amende (art. 90 al. 1 LCR ; cf. TF 6B_965/2011 du 17 mai 2011 c. 2.1). Le degré de l’attention requise par l’art. 3 al. 1 OCR s’apprécie au regard des circonstances de l’espèce, telles que la densité du trafic, la configuration des lieux, l’heure, la visibilité et les sources de danger prévisibles (ATF 127 II 302 c. 3c et l’arrêt cité).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(Bussy et al., Code suisse de la circulation routière commenté, 4 e éd., Bâle 2015, n. 2.4 ad art. 31 LCR). Une occupation rendant plus difficile la conduite ou distrayant le chauffeur (art. 3 al. 1, 2 e et 3 e phr. OCR) peut résulter du fait que conducteur manipule un objet d’une main tout en actionnant le véhicule de l’autre, en particulier si elle dure plus d’un court instant et si elle oblige le conducteur à détourner son regard du trafic (ATF 120 IV 63 c. 2d, JT 1994 I 697).</w:t>
      </w:r>
    </w:p>
    <w:p>
      <w:r>
        <w:rPr>
          <w:b/>
        </w:rPr>
        <w:t>E. 2.2</w:t>
      </w:r>
    </w:p>
    <w:p>
      <w:r>
        <w:t>En l’espèce, par jugement très succinct, le Tribunal de police a acquitté A.________ de l’infraction à l’OCR considérant, en bref, que le fait de ne pas remarquer le policier et de ne pas obéir à ses signes ne démontrait aucune inattention de la part du prévenu, compte tenu du faible éclairage des lieux et de l’absence d’un triopan avec lampe flash signalant la présence de l’agent. S’agissant des explications données spontanément par le prévenu peu après son interpellation, qui expliquait son inattention par le fait qu’il était en train de manipuler son autoradio, le premier juge a estimé que ce geste n’était pas de nature à détourner son attention de la route et du trafic. Enfin, le magistrat a retenu que le fait de poursuivre sa route sur plusieurs centaines de mètres après avoir finalement remarqué l’agent de police n’était pas punissable car il était nécessaire par souci de sécurité. Cette appréciation ne saurait être suivie. A cet égard, il est manifeste – et non contesté d’ailleurs (cf. jgt p. 3) – qu’A.________ n’a pas vu le policier qui lui faisait signe, au point que celui-ci a dû se déporter sur sa gauche en faisant de grands gestes du bras. A ce moment là, le prévenu a ralenti, mais il ne s’est arrêté que plus loin. Le rapport de police parle de plusieurs centaines de mètres, distance qui obligeait les policiers à prendre leur voiture pour intercepter le prévenu alors que celui-ci s’était arrêté sur le parking de [...]. Il ressort également du rapport de police que le conducteur a justifié son comportement par le fait qu’il était occupé à régler son autoradio. En dépit des explications qu’il a fournies, force est de considérer que le prévenu n’a pas vu le policier à temps et qu’il n’a pas réalisé d’emblée ce qui se passait, puisqu’il a poursuivi sa route. A ce titre, A.________ ne peut pas valablement invoquer le fait qu’il faisait nuit, qu’il pleuvait et que la route n’était pas éclairée pour justifier qu’il n’a pas vu le policier et ne s’est pas arrêté à son premier signal ; cela signifierait en effet qu’il roulait à une vitesse inadaptée aux conditions de la route, ce qui n’a jamais été soutenu. Dans les circonstances de l’espèce, le fait que l’intéressé n’ait pas constaté la présence du policier sur la chaussée, habillé d’une chasuble avec des bandes fluorescente, qui lui faisait signe avec une lampe à embout de couleur rouge, ne peut dès lors que résulter d’un moment d’inattention de sa part. Le prévenu a du reste, dans un premier temps, spontanément déclaré au policier en pensant se disculper qu’il avait peut-être été distrait par son autoradio. Ce dernier est revenu sur son explication et a contesté que le fait qu’il ait réglé son autoradio ait pu provoquer un manque d’attention de sa part, en invoquant en particulier que les commandes de l’autoradio se situaient au volant et qu’il avait l’habitude de faire cette manipulation. On ne discerne toutefois aucun motif pour ne pas retenir sa première déclaration. Quoi qu’il en soit, on relèvera qu’il importe peu en définitive de déterminer le motif de la distraction d’A.________, dans la mesure où, pendant un cours instant, il est établi que l’intéressé n’a pas été suffisamment attentif, ce qui suffit à retenir l’infraction de l’art. 3 al. 1 OCR, étant précisé que cette disposition ne se limite pas à la distraction causée par un appareil reproducteur de son. Il s’ensuit que le comportement d’A.________ est bel est bien constitutif d’une violation simple des règles de la circulation routière.</w:t>
      </w:r>
    </w:p>
    <w:p>
      <w:r>
        <w:rPr>
          <w:b/>
        </w:rPr>
        <w:t>E. 2.3</w:t>
      </w:r>
    </w:p>
    <w:p>
      <w:r>
        <w:t>L’intimé invoque toutefois le fait que les policiers se trouvaient hors de leur territoire de compétence, de sorte qu’il n’aurait pas dû être amendé.</w:t>
      </w:r>
    </w:p>
    <w:p>
      <w:r>
        <w:rPr>
          <w:b/>
        </w:rPr>
        <w:t>E. 2.3.1</w:t>
      </w:r>
    </w:p>
    <w:p>
      <w:r>
        <w:t>Le fait que les policiers se soient trouvés hors de leur territoire de compétence n’est pas un élément nouveau au sens de l’art. 398 al. 34 CPP puisqu’il a déjà été évoqué et plaidé en première instance. Le premier juge ne l’a toutefois pas examiné, dès lors qu’il a libéré A.________ pour un autre motif. Le grief est donc recevable et il convient de l’examiner.</w:t>
      </w:r>
    </w:p>
    <w:p>
      <w:r>
        <w:rPr>
          <w:b/>
        </w:rPr>
        <w:t>E. 2.3.2</w:t>
      </w:r>
    </w:p>
    <w:p>
      <w:r>
        <w:t>En l’occurrence, si l’on se réfère à l’audition du policier [...], le contrôle effectué par la police de l’Ouest lausannois aurait effectivement été effectué hors du champ de compétence de la police, le chef d’unité s’étant apparemment trompé, ce qui paraît toutefois quelque peu surprenant. Cela étant, même en retenant que le contrôle de police a été effectué hors du territoire communal, l’amende litigieuse resterait valable. En effet, la LOPV (loi vaudoise du 13 septembre 2011 sur l'organisation policière vaudoise ; RSV 133.05) a pour but notamment d’instaurer une collaboration étroite entre les autorités responsables de la sécurité publique, d’améliorer l’efficacité de l’action policière par une meilleure coordination entre les polices et de supprimer la concurrence liée aux statuts des policiers (art. 1 et 2 let. c). Cette loi n’a en revanche pas pour objet de donner des droits particuliers aux citoyens quant à la compétence territoriale de la police qui constate une infraction. Dans ce sens, elle ne prévoit aucune sanction si des règles de compétences ne sont pas respectées. Il découle de ce constat que l’intimé ne peut déduire de cette loi aucun droit propre afin de contester le bien-fondé de l’intervention de la police qui a constaté l’infraction. Au demeurant, le Ministère public fait avec raison l’analogie avec les signaux placés illégalement. En effet, même si ces signaux ne sont pas placés de manière régulière, ils doivent être observés dans la mesure où ils créent pour les autres usagers de la route une apparence juridique digne d’être protégée (ATF 128 IV 184, JT 2002 IV p. 612 ss). Un usager qui sait qu’un signal n’a pas été apposé régulièrement ne doit pas, par son non-respect, mettre en danger les usagers qui se fient à ce signal. Ces considérations sont également valables en l’espèce, ce d’autant plus qu’il aurait pu s’agir non d’un contrôle de police, mais d’un accident de la circulation. Il tombe ainsi sous le sens qu’un automobiliste qui voit un policier lui faire signe de s’arrêter doit obtempérer, sans se demander si ce policier est bien sur son territoire de compétence.</w:t>
      </w:r>
    </w:p>
    <w:p>
      <w:r>
        <w:rPr>
          <w:b/>
        </w:rPr>
        <w:t>E. 2.4</w:t>
      </w:r>
    </w:p>
    <w:p>
      <w:r>
        <w:t>Il résulte de ce qui précède que la condamnation de l’appelant pour violation simple des règles de la circulation (art. 3 OCR ad 90 al. 1 LCR) doit être prononcée.</w:t>
      </w:r>
    </w:p>
    <w:p>
      <w:r>
        <w:rPr>
          <w:b/>
        </w:rPr>
        <w:t>E. 3</w:t>
      </w:r>
    </w:p>
    <w:p>
      <w:r>
        <w:t>Au regard de la culpabilité d’A.________ et de sa situation personnelle, une amende de 100 fr. réprime de manière adéquate la contravention commise. A défaut de paiement de l'amende, la peine privative de liberté de substitution sera d’un jour.</w:t>
      </w:r>
    </w:p>
    <w:p>
      <w:r>
        <w:rPr>
          <w:b/>
        </w:rPr>
        <w:t>E. 4</w:t>
      </w:r>
    </w:p>
    <w:p>
      <w:r>
        <w:t>Dès lors que le prévenu a succombé sur le sort de l’action pénale, il se justifie de mettre à sa charge l’entier des frais de première instance (art. 426 al.1 CPP), qui s’élèvent à 700 francs.</w:t>
      </w:r>
    </w:p>
    <w:p>
      <w:r>
        <w:rPr>
          <w:b/>
        </w:rPr>
        <w:t>E. 5</w:t>
      </w:r>
    </w:p>
    <w:p>
      <w:r>
        <w:t>La mise à la charge des frais de la procédure conduit également au refus de toute indemnité de l’art. 429 CPP, étant relevé que les principes qui régissent la condamnation aux frais d'un prévenu libéré (art. 426 al. 2 CPP) valent aussi, mutatis mutandis , pour le refus d'une indemnité pour les dépenses occasionnées par l'exercice raisonnable de ses droits de procédure (TF 1B_179/2011 du 17 juin 2011 c. 4.2 ; Pitteloud, Code de procédure pénale suisse, Commentaire à l'usage des praticiens, Zurich/St-Gall 2012, n. 1314), de sorte que le sort réservé aux frais est en règle générale le même que pour les indemnités (ATF 137 IV 352 c. 2.4.2 ; Pitteloud, op. cit., n. 1335 ; CAPE 21 mars 2014/94 c. 4.1).</w:t>
      </w:r>
    </w:p>
    <w:p>
      <w:r>
        <w:rPr>
          <w:b/>
        </w:rPr>
        <w:t>E. 6</w:t>
      </w:r>
    </w:p>
    <w:p>
      <w:r>
        <w:t>En définitive, l’appel du Ministère public doit être admis et le jugement du 22 janvier 2015 réformé en ce sens qu’A.________ est condamné pour violation simple des règles de la circulation routière à une amende de 100 fr., la peine privative de liberté de substitution en cas de non-paiement fautif étant fixée à un jour. Vu l'issue de la cause, les frais d'appel, par 900 fr. (art. 21 al. 1 TFIP [tarif des frais judiciaires pénaux du 28 septembre 2010 ; RSV 312.03.1]), seront mis à la charge d’A.________,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