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189 vom 23. Februar 2015</w:t>
      </w:r>
    </w:p>
    <w:p>
      <w:r>
        <w:t>VD Tribunal cantonal, 2015-02-23, FR</w:t>
      </w:r>
    </w:p>
    <w:p>
      <w:r>
        <w:rPr>
          <w:b/>
        </w:rPr>
        <w:t xml:space="preserve">Quelle: </w:t>
      </w:r>
      <w:r>
        <w:t>https://mcp.opencaselaw.ch/entscheid/vd_findinfo_Jug___2015___189</w:t>
      </w:r>
    </w:p>
    <w:p>
      <w:r>
        <w:t>FR: VD_FINDINFO Jug / 2015 / 189 du 23 février 2015</w:t>
      </w:r>
    </w:p>
    <w:p>
      <w:r>
        <w:t>IT: VD_FINDINFO Jug / 2015 / 189 del 23 febbraio 2015</w:t>
      </w:r>
    </w:p>
    <w:p>
      <w:pPr>
        <w:pStyle w:val="Heading2"/>
      </w:pPr>
      <w:r>
        <w:t>Regeste</w:t>
      </w:r>
    </w:p>
    <w:p>
      <w:r>
        <w:t>DILIGENCE, TRAVAIL AU NOIR | 12 CP, 117 al. 1 LEtr, 117 al. 2 LEtr, 91 al. 1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Dans un premier grief, l’appelant invoque une violation de son droit d’être entendu. Il critique le caractère succinct de la motivation du jugement quant à l’aspect intentionnel de l’infraction, le premier juge se limitant, selon lui, à affirmer que « les conditions subjectives, à tout le moins par dol éventuel, sont également réalisées. » (jgt., p. 13, c. 8).</w:t>
      </w:r>
    </w:p>
    <w:p>
      <w:r>
        <w:rPr>
          <w:b/>
        </w:rPr>
        <w:t>E. 3.1</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w:t>
      </w:r>
    </w:p>
    <w:p>
      <w:r>
        <w:rPr>
          <w:b/>
        </w:rPr>
        <w:t>E. 3.2</w:t>
      </w:r>
    </w:p>
    <w:p>
      <w:r>
        <w:t>En l’espèce, le grief de l’appelant ne résiste pas à l’examen. En effet, le premier juge a tout d’abord examiné minutieusement l’étendue des obligations qui s’imposaient à celui qui engage un travailleur étranger (jgt., pp. 11 à 12, c. 7). Il a ensuite relevé que l’appelant n’avait procédé à aucune vérification, en précisant qu’il se fondait sur les propres déclarations de ce dernier, et que la simple question posée à l’employeur contractuel d’R.________ était une mesure insuffisante. Le magistrat a enfin expliqué que l’appelant devait connaître ses obligations légales de procéder aux vérifications de la situation administrative du travailleur, puisqu’il avait déjà été condamné à deux reprises pour ce motif. Ces deux antécédents permettaient aussi d’établir que l’appelant était conscient du risque que certains travailleurs étrangers ne soient pas au bénéfice des autorisations requises. Le jugement retient ainsi tous les éléments permettant d’affirmer que l’appelant connaissait ses devoirs, qu’il était conscient des risques et qu’il n’a procédé à aucune vérification. La motivation est ainsi satisfaisante sur ce point. L’appelant a d’ailleurs été en mesure de motiver son appel de manière complète et en connaissance de cause. A l’appui de sa thèse, l’appelant invoque encore un passage de l’ATF 130 IV 58 c. 8.3 (JT 2004 I 486, cité par Dupuis &amp; al., Petit commentaire du Code pénal, Bâle 2012, n. 18 ad art. 12 CP). Cette citation n’est cependant d’aucun secours à l’appelant, puisque le jugement entrepris indique clairement les éléments permettant de retenir que l’absence de vérification entraînait inévitablement un risque de réalisation de l’état de fait légal de l’infraction à la LEtr. Ce premier moyen, mal fondé, doit être rejeté.</w:t>
      </w:r>
    </w:p>
    <w:p>
      <w:r>
        <w:rPr>
          <w:b/>
        </w:rPr>
        <w:t>E. 4</w:t>
      </w:r>
    </w:p>
    <w:p>
      <w:r>
        <w:t>En deuxième lieu, l’appelant soutient que sa condamnation ne serait fondée que sur les déclarations jugées crédibles d’R.________, alors qu’il n’avait jamais eu l’occasion, au cours de la procédure, d’être confronté ou de pouvoir faire interroger celui qui l’avait mis en cause. Admettant n’avoir jamais sollicité l’audition d’R.________ durant la procédure de première instance, l’appelant soutient que celui-ci serait introuvable. Il se prévaut de l’arrêt rendu par la Cour EDH dans l’affaire Kostovski c/ Pays-Bas, du 20 novembre 1989 (Série A, n° 166), pour demander le retranchement de cet élément de preuve du dossier afin de garantir son droit à un procès équitable.</w:t>
      </w:r>
    </w:p>
    <w:p>
      <w:r>
        <w:rPr>
          <w:b/>
        </w:rPr>
        <w:t>E. 4.1</w:t>
      </w:r>
    </w:p>
    <w:p>
      <w:r>
        <w:t>Conformément à l'art. 6 § 3 let. d CEDH (Convention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w:t>
      </w:r>
    </w:p>
    <w:p>
      <w:r>
        <w:rPr>
          <w:b/>
        </w:rPr>
        <w:t>E. 4.2</w:t>
      </w:r>
    </w:p>
    <w:p>
      <w:r>
        <w:t>En l’espèce, l’appelant perd de vue que le premier juge s’est effectivement fondé sur les déclarations crédibles d’R.________, mais en précisant dans la même phrase que celles-ci étaient corroborées par les déclarations du prévenu en cours de procédure. De telles déclarations figurent du reste au procès-verbal de l’audience (jgt., p. 3). Dans ces circonstances, il est inexact d’affirmer que les déclarations d’R.________ auraient constitué le seul élément de preuve sur lequel se fonde le jugement entrepris. Le premier juge serait parvenu à la même conclusion en se fondant exclusivement sur les déclarations de l’appelant. Il convient en outre de relever que, comme l’appelant le mentionne du reste lui-même, l’audition d’R.________ n’a jamais été requise formellement, ni durant l’instruction devant le Ministère public, ni devant l’autorité de première instance ; elle ne l’est d’ailleurs pas d’avantage dans le cadre de la présente procédure d’appel. A cet égard, l’appelant fait valoir que, selon lui, l’intéressé serait désormais devenu introuvable et qu’une réquisition tendant à l’audition de celui-ci aurait été inefficace. Or, la jurisprudence dont l’appelant se prévaut à l’appui de son moyen rappelle que l’accusé doit avoir invoqué le droit à une confrontation, ce qui n’est pas le cas en l’espèce. Compte tenu de la jurisprudence rappelée ci-dessus, il y a lieu de retenir que toutes les conditions permettant de renoncer à l'exigence d'une confrontation du prévenu avec le témoin à charge sont réalisées en l’occurrence. Par conséquent, le deuxième moyen de l’appelant, mal fondé, doit également être rejeté. 5. Dans un dernier moyen, l’appelant se plaint d’une mauvaise application de l’art. 12 CP, en ce sens que le premier juge aurait retenu le dol éventuel en lieu et place de la négligence consciente. 5.1 Aux termes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La doctrine et la jurisprudence distinguent le dessein (ou dol direct de premier degré), le dol simple (ou dol direct de deuxième degré) et le dol éventuel (cf. p. ex.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 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5.2 En l’espèce, le moyen de l’appelant recouvre dans une large mesure le premier moyen soulevé et déjà examiné ci-dessus (c. 3). L’appelant rappelle à juste titre que plus la probabilité de réaliser l’infraction est grande et plus grave est la violation des devoirs de prudence, plus on peut en déduire que l’auteur s’est accommodé de la survenance du résultat prohibé (Corboz, Les infractions en droit suisse, vol. l, 3 e éd., Berne 2010, n. 80 ad art. 12 CP). Pour les motifs déjà exposés précédemment (c. 3), notamment l’absence de toute vérification alors même que l’appelant avait déjà été condamné pour avoir employé des travailleurs sans permis en 2008 et en 2011, il faut constater que le jugement mentionne tous les éléments suffisants pour retenir que l’appelant s’est accommodé de la survenance du résultat délictueux. Le premier juge a dès lors correctement appliqué l’art. 12 CP en concluant que les conditions du dol éventuel étaient réalisées. Ce moyen, mal fondé, doit également être rejeté.</w:t>
      </w:r>
    </w:p>
    <w:p>
      <w:r>
        <w:rPr>
          <w:b/>
        </w:rPr>
        <w:t>E. 6</w:t>
      </w:r>
    </w:p>
    <w:p>
      <w:r>
        <w:t>En définitive, mal fondés, tous les griefs soulevés par G.________ doivent être rejetés. C'est donc à juste titre que le tribunal a retenu que le prénommé a agi avec conscience et volonté et qu’il a été reconnu coupable d'infraction à la LEtr au sens de l'art. 117 al. 1 et 2 de cette loi.</w:t>
      </w:r>
    </w:p>
    <w:p>
      <w:r>
        <w:rPr>
          <w:b/>
        </w:rPr>
        <w:t>E. 7</w:t>
      </w:r>
    </w:p>
    <w:p>
      <w:r>
        <w:t>L’appelant ne discute pas la peine dès lors qu’il a conclu à son acquittement. Il suffit de constater, sur ce point, que ni le choix du genre de peine, ni l'appréciation de la quotité de la peine par le premier juge ne sont critiquables, de sorte que tant la peine pécuniaire ferme de soixante jours-amende que le montant du jour-amende, fixé à 30 fr., peuvent être confirmés. Enfin, l’appelant persiste – encore à l’audience d’appel – à nier les faits et à minimiser sa responsabilité, alors même qu’il a déjà été sanctionné à deux reprises par le passé pour la même infraction et qu’il connaissait ainsi ses obligations s’agissant de l’engagement d’étrangers. C’est ainsi à raison que le premier juge a considéré que le pronostic était défavorable, ce qui justifiait la révocation du sursis précédemment accordé à l’appelant.</w:t>
      </w:r>
    </w:p>
    <w:p>
      <w:r>
        <w:rPr>
          <w:b/>
        </w:rPr>
        <w:t>E. 8</w:t>
      </w:r>
    </w:p>
    <w:p>
      <w:r>
        <w:t>En définitive, l'appel doit être rejeté et le jugement attaqué intégralement confirmé. Vu l'issue de la cause, les frais d'appel, constitués du seul émolument d’arrêt par 1'500 fr. (art. 21 al. 1 et 2 TFIP [Tarif des frais de procédure et indemnités en matière pénale du 28 septembre 2010, RSV 312.03.1]), seront mis à la charge de 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