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168 vom 6. Februar 2015</w:t>
      </w:r>
    </w:p>
    <w:p>
      <w:r>
        <w:t>VD Tribunal cantonal, 2015-02-06, FR</w:t>
      </w:r>
    </w:p>
    <w:p>
      <w:r>
        <w:rPr>
          <w:b/>
        </w:rPr>
        <w:t xml:space="preserve">Quelle: </w:t>
      </w:r>
      <w:r>
        <w:t>https://mcp.opencaselaw.ch/entscheid/vd_findinfo_Jug___2015___168</w:t>
      </w:r>
    </w:p>
    <w:p>
      <w:r>
        <w:t>FR: VD_FINDINFO Jug / 2015 / 168 du 6 février 2015</w:t>
      </w:r>
    </w:p>
    <w:p>
      <w:r>
        <w:t>IT: VD_FINDINFO Jug / 2015 / 168 del 6 febbraio 2015</w:t>
      </w:r>
    </w:p>
    <w:p>
      <w:pPr>
        <w:pStyle w:val="Heading2"/>
      </w:pPr>
      <w:r>
        <w:t>Regeste</w:t>
      </w:r>
    </w:p>
    <w:p>
      <w:r>
        <w:t>CONTRAVENTION, EXEMPTION DE PEINE, FRAIS{EN GÉNÉRAL}, AVOCAT | 100 ch. 1 al. 2 LCR, 398 al. 4 CPP (CH), 14 al. 3 LVCPP</w:t>
      </w:r>
    </w:p>
    <w:p>
      <w:pPr>
        <w:pStyle w:val="Heading2"/>
      </w:pPr>
      <w:r>
        <w:t>Erwägungen</w:t>
      </w:r>
    </w:p>
    <w:p>
      <w:r>
        <w:rPr>
          <w:b/>
        </w:rPr>
        <w:t>E. 1</w:t>
      </w:r>
    </w:p>
    <w:p>
      <w:r>
        <w:t>S'agissant d'un appel portant sur une contravention, la procédure écrite est applicable (art. 406 al. 1 let. c CPP). Toutefois, l'art. 398 al. 4 CPP – qui prévoit l'appel restreint – n'est pas applicable car V.________ a été renvoyée en jugement pour un délit. Le pouvoir de cognition du juge d'appel est donc celui de l'art. 398 al. 3 CPP, qui prévoit que l'appel peut être formé pour violation du droit, y compris l'excès et l'abus du pouvoir d'appréciation, le déni de justice et le retard injustifié (let. a), la constatation incomplète ou erronée des faits (let. b) et l'inopportunité (let. c). Enfin, l'art. 14 al. 3 LVCPP ( Loi d'introduction du Code de procédure pénale suisse du 19 mai 2009, RSV 312.01) donne la compétence à un juge unique de trancher l'appel.</w:t>
      </w:r>
    </w:p>
    <w:p>
      <w:r>
        <w:rPr>
          <w:b/>
        </w:rPr>
        <w:t>E. 2.1</w:t>
      </w:r>
    </w:p>
    <w:p>
      <w:r>
        <w:t>La question à résoudre est celle de savoir si, comme elle le demande, V.________ peut être mise au bénéfice de l'art. 100 ch. 1 al. 2 LCR, dont l'application ne conduit pas à un acquittement, comme le voudrait l'appelante, mais à une exemption de peine avec constat de culpabilité (Jeanneret Y., Les dispositions pénales de la loi sur la circulation routière, Stämpfli, Berne, 2007, n. 23 ad art. 100 LCR). Ainsi, sous l'angle des frais de la cause, il est sans importance qu'un cas de peu de gravité soit retenu ou pas, dès lors que le constat de culpabilité emporte la condamnation aux frais (cf. sur ce point, la jurisprudence citée in Favre/Pellet/Stoudmann, Code pénal annoté, Lausanne 2007, n. 1.6 ad art. 54 CP).</w:t>
      </w:r>
    </w:p>
    <w:p>
      <w:r>
        <w:rPr>
          <w:b/>
        </w:rPr>
        <w:t>E. 2.2</w:t>
      </w:r>
    </w:p>
    <w:p>
      <w:r>
        <w:t>La jurisprudence subordonne l'admission d'un cas de très peu de gravité à des exigences élevées (TF 6B_299/2011 et 6B 332/2011 du 1 er septembre 2011). Toute négligence ne peut être considérée comme particulièrement légère (ATF 117 IV 302 c. 3b/cc). Cette disposition ne peut pas être appliquée de façon générale chaque fois que l'acte punissable ne revêt qu'une importance minime et ne provoque qu'une lésion peu importante de l'ordre juridique, sinon la plupart des contraventions aux prescriptions de stationnement, par exemple, échapperaient à toute sanction. Pour que l'art. 100 ch. 1 al. 2 LCR soit applicable, il faut, outre le fait que l'infraction ait causé une lésion de peu d'importance à l'ordre juridique, que la faute de l'auteur soit si légère qu'une peine d'amende, même minime, apparaisse en soi d'une sévérité choquante (TF 6S.443/2006 du 19 décembre 2006, ATF 91 IV 149 c. 3; cf. aussi JT 1972 I 487 n. 92). En d'autres termes, il s'agit de cas bagatelle où même une amende très modérée apparaîtrait inappropriée (TF 6S.219/2005 du 24 juin 2005). Savoir si le cas est de très peu de gravité dépend de l'ensemble des circonstances objectives et subjectives pertinentes pour l'appréciation de la faute (ATF 124 IV 184 c. 3a).</w:t>
      </w:r>
    </w:p>
    <w:p>
      <w:r>
        <w:rPr>
          <w:b/>
        </w:rPr>
        <w:t>E. 2.3</w:t>
      </w:r>
    </w:p>
    <w:p>
      <w:r>
        <w:t>En l'espèce, le dossier (notamment, la photographie annexée en page 3 du procès-verbal d'audience du 14 février 2013 ; PV aud. 1) ne permet pas de dire que le passage pour un véhicule était malaisé. C'est d'ailleurs à ce même constat qu'aboutit le rapport de police du 12 octobre 2013 (P. 4) en relevant que le stationnement du véhicule de B.L.________ (qui empiétait sur la chaussée de 60 cm) était autorisé, s'agissant d'une route secondaire à l'intérieur d'une localité, la présence de ce véhicule n'empêchant pas le croisement de deux véhicules (cf. p. 6). Certes, au moment des faits, un train routier léger stationnait en face du véhicule de B.L.________ en sens inverse, mais même dans une telle configuration V.________ pouvait aisément passer, sa voiture étant de surcroît de dimension modeste (une [...] Dût-on admettre que le passage fût délicat, il appartenait de toute manière à l'appelante de s'arrêter pour demander aux conducteurs de déplacer leurs véhicules, ce qu'elle n'a pas fait. La violation des art. 31 al. 1 et 34 al. 4 LCR en relation avec l'art. 3 al. 1 OCR (ordonnance sur la circulation routière ; RS 741.21) est donc réalisée. On ne voit pas ici que la faute soit particulièrement légère ou que la conductrice avait des motifs de transgresser la loi. Lorsqu'elle a été interrogée par la police (PV. aud. 1), la prévenue n'a jamais évoqué le fait qu'un autre véhicule arrivant en sens inverse l'avait obligée de précipiter sa manœuvre pour prévenir un heurt. Cette explication est venue tardivement, par lettre du 15 février 2015 (P. 14). Il est certain que si un autre conducteur avait forcé la prévenue à commettre une contravention, elle l'aurait dit dès son premier interrogatoire puisqu'il s'agit selon elle d'un fait justifiant sa transgression aux règles de la circulation. On retiendra donc les premières déclarations de l'appelante qui sont plus spontanées et paraissent plus sincères. Au vu de ces éléments, le cas ne peut pas être considéré comme étant de peu de gravité, si bien que l'appel doit être rejeté sur ce point.</w:t>
      </w:r>
    </w:p>
    <w:p>
      <w:r>
        <w:rPr>
          <w:b/>
        </w:rPr>
        <w:t>E. 2.4</w:t>
      </w:r>
    </w:p>
    <w:p>
      <w:r>
        <w:t>Dans un second moyen, l'appelante considère que même si le cas de peu de gravité ne pouvait pas être retenu, les frais de la cause mis à sa charge ne devraient pas excéder 300 francs. Pour autant, l'appelante ne conteste pas le montant des frais tel qu'il a été établi en procédure. Les frais de justice répondent au principe de couverture et non au principe de culpabilité (TF 6B_753/2013 du 17 février 2014 c. 3.1 et les références citées). On ne voit pas, dans ces conditions, pour quelles raisons la part des frais mise à la charge de V.________ par le premier juge devrait être revue à la baisse. On précisera, au demeurant, que cette autorité avait déjà réduit les frais en tenant compte de la libération de la prévenue du chef de violation des devoirs en cas d'accident (jugement p. 12). Ce moyen est infondé.</w:t>
      </w:r>
    </w:p>
    <w:p>
      <w:r>
        <w:rPr>
          <w:b/>
        </w:rPr>
        <w:t>E. 2.5</w:t>
      </w:r>
    </w:p>
    <w:p>
      <w:r>
        <w:t>L'appelante semble faire grief au premier juge de n'avoir pas alloué une indemnité au sens de l'art. 429 CPP en raison de sa libération du chef de violation des devoirs en cas d'accident. On peut d'emblée objecter que V.________ n'a été que très partiellement suivie par le Tribunal de police. Si l'acquittement pour violation des devoirs en cas d'accident a été admis, tel n'a pas été le cas de la violation simple des règles de la circulation, de la quotité de la peine pour l'infraction non contestée d'injure et du montant de l'amende (cf. jugement p. 7, ainsi que pp. 12/13). Dans ces  conditions, il était juste de considérer que l'appelante n'avait que très partiellement obtenu gain de cause (jugement p. 12). S'ajoute à cela le fait que par son comportement, V.________ a donné lieu à l'ouverture de l'enquête pénale, ce qui ferme en l'espèce la porte à une indemnisation (TF 6B_300/2013 du 3 juin 2013). Enfin, il a été jugé (TF 6B_563/2012 du 30 mai 2013) que l'assistance d'un avocat n'était pas nécessaire dans le cadre d'une procédure d'opposition à rencontre d'une procédure pénale prononçant une amende pour contravention à la LCR. En conclusion, l'appel doit être rejeté sur ce point également.</w:t>
      </w:r>
    </w:p>
    <w:p>
      <w:r>
        <w:rPr>
          <w:b/>
        </w:rPr>
        <w:t>E. 2.6</w:t>
      </w:r>
    </w:p>
    <w:p>
      <w:r>
        <w:t>En définitive, l'appel, en tous points mal fondé, doit être rejeté et le jugement attaqué confirmé.</w:t>
      </w:r>
    </w:p>
    <w:p>
      <w:r>
        <w:rPr>
          <w:b/>
        </w:rPr>
        <w:t>E. 3.1</w:t>
      </w:r>
    </w:p>
    <w:p>
      <w:r>
        <w:t>Vu le sort de l'appel, les frais de la présente procédure, par 630 fr. (art. 395 let. a CPP; art. 20 al. 1 TFIP; tarif des frais de procédure et indemnités en matière pénale du 28 septembre 2010; RSV 312. 03.1, soit 7 pages à 90 fr.), doivent être mis à la charge de V.________, qui succombe (art. 428 al. 1 CPP).</w:t>
      </w:r>
    </w:p>
    <w:p>
      <w:r>
        <w:rPr>
          <w:b/>
        </w:rPr>
        <w:t>E. 3.2</w:t>
      </w:r>
    </w:p>
    <w:p>
      <w:r>
        <w:t>Le rejet de l'appel entraînant la confirmation de la condamnation de V.________, celle-ci n'a pas droit à l'indemnité qu'elle réclame pour ses dépens de seconde instance (art. 429 al. 1 let. a CPP a contrario et supra c. 2.5, par identité de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