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150 vom 9. Dezember 2014</w:t>
      </w:r>
    </w:p>
    <w:p>
      <w:r>
        <w:t>VD Tribunal cantonal, 2014-12-09, FR</w:t>
      </w:r>
    </w:p>
    <w:p>
      <w:r>
        <w:rPr>
          <w:b/>
        </w:rPr>
        <w:t xml:space="preserve">Quelle: </w:t>
      </w:r>
      <w:r>
        <w:t>https://mcp.opencaselaw.ch/entscheid/vd_findinfo_Jug___2015___150</w:t>
      </w:r>
    </w:p>
    <w:p>
      <w:r>
        <w:t>FR: VD_FINDINFO Jug / 2015 / 150 du 9 décembre 2014</w:t>
      </w:r>
    </w:p>
    <w:p>
      <w:r>
        <w:t>IT: VD_FINDINFO Jug / 2015 / 150 del 9 dicembre 2014</w:t>
      </w:r>
    </w:p>
    <w:p>
      <w:pPr>
        <w:pStyle w:val="Heading2"/>
      </w:pPr>
      <w:r>
        <w:t>Regeste</w:t>
      </w:r>
    </w:p>
    <w:p>
      <w:r>
        <w:t>ORDONNANCE DE CONDAMNATION, LOI FÉDÉRALE SUR LA CIRCULATION ROUTIÈRE, DÉCISION D'IRRECEVABILITÉ | 27 al. 1 LCR, 90 al. 2 LCR, 4a al. 1 OCR, 352 CPP (CH)</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pp. 66 s; ATF 130 IV 72 c. 1; TF 6B_310/2011 c. 1.2).</w:t>
      </w:r>
    </w:p>
    <w:p>
      <w:r>
        <w:rPr>
          <w:b/>
        </w:rPr>
        <w:t>E. 1.2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3e éd., Schulthess § 2011, n. 2092, p. 679; Heer, in : Niggli/Heer/Wiprächtiger [éd.], Basler Kommentar, Schweizerische Strafprozessordnung Jungenstrafprozessordnung, 2e éd., Bâle 2014,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1.3</w:t>
      </w:r>
    </w:p>
    <w:p>
      <w:r>
        <w:t>Une demande de révision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(ATF 130 IV 72 c. 2.2). Cette jurisprudence s’applique aussi à une procédure de révision régie par le CPP (TF 6B_310/2011 du 20 juin 2011).</w:t>
      </w:r>
    </w:p>
    <w:p>
      <w:r>
        <w:rPr>
          <w:b/>
        </w:rPr>
        <w:t>E. 2</w:t>
      </w:r>
    </w:p>
    <w:p>
      <w:r>
        <w:t>En l'espèce, le requérant soutient s’être rendu compte « après-coup », soit après l’échéance du délai d’opposition, qu’il n’était pas l’auteur de l’infraction. Il n’invoque pas la découverte d’un fait ou moyen de preuve qu’il n’aurait pas pu connaître au moment du prononcé de l’ordonnance pénale du 9 décembre 2014, qui plaiderait en faveur d’un acquittement. Il se contente d’expliquer s’être mépris sur l’heure de l’infraction et que vu celle-ci il ne pouvait être le conducteur mis en cause. Force est toutefois de constater que cette indication aurait pu être révélée dans une procédure ordinaire mise en œuvre par une simple opposition si le requérant avait fait preuve de l’attention qu’on pouvait attendre de lui. Par conséquent, la voie de la révision lui est fermée. Une demande de révision n'est pas une voie de droit destinée à pallier la tardiveté d'un recours. En l’occurrence, selon le relevé du suivi des envois de la Poste suisse, l’ordonnance pénale a été expédiée au recourant le 9 décembre 2014. D.________ a été avisé de l’arrivée de cet envoi recommandé par un avis déposé dans sa boîte aux lettres le 11 décembre 2014. Il n’est toutefois pas allé retirer son pli au guichet, de sorte que l’envoi a été retourné à l’expéditeur à l’issue du délai de garde. Dès lors qu’il devait s’attendre à recevoir une décision de l’autorité pénale, notamment au vu du courrier qui lui avait été adressé le 23 septembre 2014 par le Ministère public de l’arrondissement de Lausanne (P. 5), il est censé avoir reçu ce pli à l’échéance du délai de garde postal (Benoît Bovay, Procédure administrative, Staempfli 2000, p. 274 et 275). De plus, le prévenu devait se douter du contenu de ce pli vu la teneur du courrier précité. Dans ces circonstances, il convient de considérer que le requérant a eu connaissance de l'ordonnance pénale du 9 décembre 2014. Toutefois, le délai de recours de dix jours (art. 396 al. 1 CPP) étant arrivé à échéance le 25 décembre 2014 (cf. art. 90 al. 2 CPP), son acte, mis à la poste le 23 avril 2015, serait manifestement tardif s’il devait être considéré comme un recours, ce qui n’est pas contesté.</w:t>
      </w:r>
    </w:p>
    <w:p>
      <w:r>
        <w:rPr>
          <w:b/>
        </w:rPr>
        <w:t>E. 3</w:t>
      </w:r>
    </w:p>
    <w:p>
      <w:r>
        <w:t>En définitive, la demande de révision présentée par D.________ est irrecevable. 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