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145 vom 16. Juni 2014</w:t>
      </w:r>
    </w:p>
    <w:p>
      <w:r>
        <w:t>VD Tribunal cantonal, 2014-06-16, FR</w:t>
      </w:r>
    </w:p>
    <w:p>
      <w:r>
        <w:rPr>
          <w:b/>
        </w:rPr>
        <w:t xml:space="preserve">Quelle: </w:t>
      </w:r>
      <w:r>
        <w:t>https://mcp.opencaselaw.ch/entscheid/vd_findinfo_Jug___2015___145</w:t>
      </w:r>
    </w:p>
    <w:p>
      <w:r>
        <w:t>FR: VD_FINDINFO Jug / 2015 / 145 du 16 juin 2014</w:t>
      </w:r>
    </w:p>
    <w:p>
      <w:r>
        <w:t>IT: VD_FINDINFO Jug / 2015 / 145 del 16 giugno 2014</w:t>
      </w:r>
    </w:p>
    <w:p>
      <w:pPr>
        <w:pStyle w:val="Heading2"/>
      </w:pPr>
      <w:r>
        <w:t>Regeste</w:t>
      </w:r>
    </w:p>
    <w:p>
      <w:r>
        <w:t>DIRECTIVE{INJONCTION}, RÉVOCATION DU SURSIS, SURSIS À L'EXÉCUTION DE LA PEINE | 44 al. 2 CP, 46 al. 2 CP, 46 CP</w:t>
      </w:r>
    </w:p>
    <w:p>
      <w:pPr>
        <w:pStyle w:val="Heading2"/>
      </w:pPr>
      <w:r>
        <w:t>Erwägungen</w:t>
      </w:r>
    </w:p>
    <w:p>
      <w:r>
        <w:rPr>
          <w:b/>
        </w:rPr>
        <w:t>E. 1</w:t>
      </w:r>
    </w:p>
    <w:p>
      <w:r>
        <w:t>Interjeté dans les formes et dans le délai légal par une partie ayant la qualité pour recourir contre le jugement d’un tribunal de première instance qui a clos la procédure (art. 398 al. 1 CPP), l’appel du Ministère public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w:t>
      </w:r>
    </w:p>
    <w:p>
      <w:r>
        <w:rPr>
          <w:b/>
        </w:rPr>
        <w:t>E. 3</w:t>
      </w:r>
    </w:p>
    <w:p>
      <w:r>
        <w:t>C.________ s'est rallié aux conclusions de l'appel tendant à ce que la suspension de l'exécution de la nouvelle peine soit assortie d'une règle de conduite consistant en l'obligation de fidèlement exécuter l’engagement de remboursement souscrit. Cette règle de conduite, qui revêt un effet éducatif limitant le danger de récidive et qui n'impose pas au condamné un sacrifice excessif au vu de la situation de celui-ci (cf. ATF 130 IV 1 c. 2.1 et 2.2; TF 6B_626/2008 du 11 novembre 2008 c. 6.1), apparaît opportune et il y a lieu de modifier en ce sens le jugement entrepris.</w:t>
      </w:r>
    </w:p>
    <w:p>
      <w:r>
        <w:rPr>
          <w:b/>
        </w:rPr>
        <w:t>E. 4.1</w:t>
      </w:r>
    </w:p>
    <w:p>
      <w:r>
        <w:t>Dans son appel, le Ministère public conclut en outre à la révocation du sursis auquel la peine de 77 jours-amende à 40 fr. le jour prononcée le 23 janvier 2012 avait été assortie. C.________ conclut au rejet de l'appel sur ce point.</w:t>
      </w:r>
    </w:p>
    <w:p>
      <w:r>
        <w:rPr>
          <w:b/>
        </w:rPr>
        <w:t>E. 4.2</w:t>
      </w:r>
    </w:p>
    <w:p>
      <w:r>
        <w:t>Selon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1 re phrase); il peut adresser au condamné un avertissement et prolonger le délai d'épreuve de la moitié au plus de la durée fixée dans le jugement (2 e phrase); il peut ordonner une assistance de probation et imposer des règles de conduite pour le délai d'épreuve ainsi prolongé (3 e phrase); si la prolongation intervient après l'expiration du délai d'épreuve, elle court dès le jour où elle est ordonnée (4 e phrase).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(arrêt précité c.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4.3</w:t>
      </w:r>
    </w:p>
    <w:p>
      <w:r>
        <w:t>En l'espèce, il est vrai que certains aspects du dossier ne plaident pas en faveur d'un pronostic favorable : d'une part, à l'époque de la condamnation du 23 janvier 2012, le casier judiciaire de C.________ comportait des inscriptions de condamnations antérieures, déjà pour des infractions à la législation sur la circulation routière (cf. P. 18); d'autre part, les circonstances des deux cas de circulation routière objets de la présente procédure pénale (ch. 2.3 et 2.4) suggèrent qu'à tout le moins à la suite du premier contrôle policier, en date du 9 juin 2013 (ch. 2.3), C.________ n'avait nullement pris conscience du caractère répréhen­sible de ses actes, puisqu'il a persisté à employer le même véhicule sans le mettre en conformité avec la loi. Il y a cependant également lieu de tenir compte du contexte plus large de la trajectoire générale du condamné (cf. ch. 1.1). Celle-ci met en évidence une prise de conscience chez l'intéressé, qui semble aujourd'hui déterminé à "se reprendre" après une période difficile, aussi bien sur les plans professionnel que personnel. Cette prise de conscience se manifeste notamment par la poursuite d'une formation; en outre, plusieurs mois après avoir souscrit un engagement de remboursement prévoyant des versements réguliers et donc une implication sur la durée, C.________ exécute toujours fidèlement celui-ci. Il a enfin déclaré accepter que le respect de cet engagement soit érigé en règle de conduite. En définitive, à l'issue d'une appréciation globale, les éléments favorables au condamné l'emportent et la renonciation à la révocation du sursis doit être confirmée. En revanche, il s'agit typiquement d'une situation où une prolongation du délai d'épreuve se justifie. Celle-ci sera fixée à une durée de deux ans, qui correspond à la durée maximale envisageable en l'espèce, soit à la moitié du délai d'épreuve de quatre ans fixé dans la première condamnation.</w:t>
      </w:r>
    </w:p>
    <w:p>
      <w:r>
        <w:rPr>
          <w:b/>
        </w:rPr>
        <w:t>E. 5</w:t>
      </w:r>
    </w:p>
    <w:p>
      <w:r>
        <w:t>En définitive, l'appel doit être partiellement admis et le jugement entrepris réformé dans le sens des considérants qui précèdent (cf. c. 3 et 4.3 supra). S'agissant de l'indemnité de défenseur d'office à allouer à l'avocat Matthieu Genillod pour la procédure d'appel, le total d'heures qui ressort de la liste des opérations déposée – deux heures et quarante-cinq minutes de travail d'avocat, dix heures et quinze minutes de travail d'avocat-stagiaire – est excessif au regard des caractéristiques de la cause, qui ne présentait pas de difficultés particulières. L'indemnité allouée sera arrêtée à 1'243 fr. 10, débours et TVA compris, en retenant une heure de travail d'avocat, huit heures de travail d'avocat-stagiaire, une vacation, par 80 fr., et les débours allégués, par 11 francs. Vu l’issue de la cause, les frais d’appel, par 2'743 fr. 10, constitués de l'émolument de jugement, par 1'500 fr. (art. 21 al. 1 et 2 TFIP [Tarif des frais de procédure et indemnités en matière pénale du 28 septembre 2010; RSV 312.03.1]), et de l'indemnité de défenseur d'office, par 1'243 fr. 10, doivent être mis pour un quart, soit 685 fr. 75, à la charge de C.________, qui succombe partiellement sur les conclusions qu'il a contestées dans le cadre de la procédure d'appel (art. 428 al. 1 CPP), le solde étant laissé à la charge de l'Etat (art. 423 al. 1 CPP). C.________ ne sera tenu de rembourser à l’Etat la part mise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