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 vom 9. Juli 2014</w:t>
      </w:r>
    </w:p>
    <w:p>
      <w:r>
        <w:t>VD Tribunal cantonal, 2014-07-09, FR</w:t>
      </w:r>
    </w:p>
    <w:p>
      <w:r>
        <w:rPr>
          <w:b/>
        </w:rPr>
        <w:t xml:space="preserve">Quelle: </w:t>
      </w:r>
      <w:r>
        <w:t>https://mcp.opencaselaw.ch/entscheid/vd_findinfo_Jug___2015___14</w:t>
      </w:r>
    </w:p>
    <w:p>
      <w:r>
        <w:t>FR: VD_FINDINFO Jug / 2015 / 14 du 9 juillet 2014</w:t>
      </w:r>
    </w:p>
    <w:p>
      <w:r>
        <w:t>IT: VD_FINDINFO Jug / 2015 / 14 del 9 luglio 2014</w:t>
      </w:r>
    </w:p>
    <w:p>
      <w:pPr>
        <w:pStyle w:val="Heading2"/>
      </w:pPr>
      <w:r>
        <w:t>Regeste</w:t>
      </w:r>
    </w:p>
    <w:p>
      <w:r>
        <w:t>LOI FÉDÉRALE SUR LES ÉTRANGERS, SÉJOUR ILLÉGAL, ACTIVITÉ LUCRATIVE, PEINE, CHOIX{EN GÉNÉRAL}, PEINE PÉCUNIAIRE | 34 CP, 41 CP, 47 CP, 115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N.________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Ne contestant pas les faits, l’appelant critique le principe même de sa condamnation pour infractions à la LEtr (loi fédérale du 16 décembre 2005 sur les étrangers ; RS 142.20).</w:t>
      </w:r>
    </w:p>
    <w:p>
      <w:r>
        <w:rPr>
          <w:b/>
        </w:rPr>
        <w:t>E. 3.1</w:t>
      </w:r>
    </w:p>
    <w:p>
      <w:r>
        <w:t>L’art. 115 al. 1 LEtr punit d'une peine privative de liberté d'un an au plus ou d'une peine pécuniaire quiconque (let. b) séjourne illégalement en Suisse, notamment après l’expiration de la durée du séjour non soumis à autorisation ou du séjour autorisé ou ( let. c) exerce une activité lucrative sans autorisation. Le séjour en Suisse est légal si l’étranger est autorisé à rester en Suisse à titre individuel ou si une prescription légale autorise sa présence en Suisse. L’étranger qui n’exerce pas d’activité lucrative peut séjourner en Suisse sans autorisation pendant trois mois (cf. art. 10 al. 1 LEtr), alors qu’il doit solliciter une autorisation en cas d’activité lucrative, quelle que soit la durée de son séjour (cf. art. 11 al. 1 LEtr).</w:t>
      </w:r>
    </w:p>
    <w:p>
      <w:r>
        <w:rPr>
          <w:b/>
        </w:rPr>
        <w:t>E. 3.2</w:t>
      </w:r>
    </w:p>
    <w:p>
      <w:r>
        <w:t>En l’espèce, l’appelant, ressortissant du [...], n’a aucun titre de séjour pour la Suisse, de sorte qu’il ne dispose pas davantage d’autorisation pour y travailler. Sa condamnation pour séjour illégal et activité lucrative sans autorisation – les conditions de ces infractions étant ainsi réalisées – ne prête donc pas le flanc à la critique et doit être confirmée.</w:t>
      </w:r>
    </w:p>
    <w:p>
      <w:r>
        <w:rPr>
          <w:b/>
        </w:rPr>
        <w:t>E. 4</w:t>
      </w:r>
    </w:p>
    <w:p>
      <w:r>
        <w:t>Il reste à déterminer la peine la plus adéquate. A ce titre, l’appelant fait valoir qu’il désire vivre en Suisse et que ce n’est pas sa faute s’il a eu la malchance de naître au [...]. Il relève qu’il est respectueux des lois et ne souhaite rien tant que s’intégrer, vivre tranquillement en travaillant. Il estime qu’il ne devrait pas être mis en prison avec les "vrais" criminels et que cela ne changera rien, parce qu’après il sera encore en Suisse.</w:t>
      </w:r>
    </w:p>
    <w:p>
      <w:r>
        <w:rPr>
          <w:b/>
        </w:rPr>
        <w:t>E. 4.1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w:t>
      </w:r>
    </w:p>
    <w:p>
      <w:r>
        <w:rPr>
          <w:b/>
        </w:rPr>
        <w:t>E. 4.1.1</w:t>
      </w:r>
    </w:p>
    <w:p>
      <w:r>
        <w:t>Dans la conception de la nouvelle partie générale du Code pénal, la peine pécuniaire constitue la sanction principale. Les peines privatives de liberté ne doivent être prononcées que lorsque l'Etat ne peut garantir d'une autre manière la sécurité publique, partant qu’une autre sanction n’est pas envisageable (Dupuis et al. [éd.], Petit commentaire, Code pénal, Bâle 2012, rem. prél. ad art. 34 ss CP).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(cf. ATF 134 IV 97 c. 4 ; TF 6B_709/2013 du 27 janvier 2014 c. 2 ; TF 6B_546/2013 du 23 août 2013 c. 1.1). Une peine pécuniaire au sens de l’art. 34 CP, qui atteint l'intéressé dans son patrimoine, constitue une sanction plus clémente qu'une peine privative de liberté, qui l'atteint dans sa liberté personnelle. Le sens et le but de la peine pécuniaire ne se résument toutefois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(ATF 134 IV 97 c. 5.2.3).</w:t>
      </w:r>
    </w:p>
    <w:p>
      <w:r>
        <w:rPr>
          <w:b/>
        </w:rPr>
        <w:t>E. 4.1.2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135 IV 180 c. 2.1 ; ATF 134 IV 1 c. 4.2.2 ; TF 6B_348/2014 du 19 juin 2014 c. 2). La présomption d’un pronostic favorable, respectivement du défaut d’un pronostic défavorable, ne s’applique en revanche plus dans l’hypothèse visée par l’art. 42 al. 2 CP,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 4.2.3).</w:t>
      </w:r>
    </w:p>
    <w:p>
      <w:r>
        <w:rPr>
          <w:b/>
        </w:rPr>
        <w:t>E. 4.1.3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4.2</w:t>
      </w:r>
    </w:p>
    <w:p>
      <w:r>
        <w:t>En l’espèce, le premier juge a sanctionné N.________, pour infractions à la LEtr (séjour illégal et activité lucrative sans autorisation), d’une courte peine privative de liberté de 40 jours. Il a pris en considération, à charge, le concours d’infractions et la récidive et, à décharge, le comportement pour le surplus parfaitement honnête de l’intéressé et les mauvaises perspectives qui sont les siennes dans son pays d’origine. Le magistrat a en outre estimé que le pronostic était défavorable. A cet égard, on relèvera que l’appelant est disposé à respecter toutes les lois, sauf celles qui l’empêchent de faire sa vie en Suisse ; il ne tient pas compte des décisions administratives et pénales qui lui sont signifiées. Dans ces circonstances, la quotité de la peine ne paraît donc pas particulièrement sévère pour une troisième condamnation au regard des éléments à charge et à décharge, même si les faits retenus représentent une "photographie instantanée", et non une durée de séjour illégal. La quotité de la peine prononcée par le premier juge peut dès lors être confirmée. S’agissant des conditions relatives au sursis, il y a lieu de constater que l’appelant a deux antécédents pour des infractions à la LEtr. Vu sa condamnation du 19 mars 2013, on se trouve dans le cadre de l’art. 42 al. 2 CP. Compte tenu du fait que la situation de N.________ n’a pas changé – il est sans titre de séjour notamment –, on ne discerne aucune circonstance particulièrement favorable, de sorte qu’un sursis est exclu. Quant au genre de peine, il sied d’examiner si le prononcé d’une courte peine privative de liberté est adéquat, et en particulier si une peine pécuniaire pourrait être exécutée (cf. art. 41 CP). On voit que N.________ est déterminé à rester en Suisse et que ni des jours-amende ni des jours privatifs de liberté ne semblent jusqu’à présent avoir l’effet dissuasif escompté. Dans une telle situation, on peut toutefois penser, à l’instar de l’appelant, que la prison "avec les vrais criminels" n’apportera rien de bon. En revanche, le fait d’être atteint dans sa situation financière conduira peut-être le prévenu à relativiser les avantages d’un séjour en Suisse et à revoir sa position. A ce titre, on ne saurait donc affirmer que seul le prononcé d’une peine privative de liberté pour les faits ici reprochés aura un effet dissuasif sur le condamné, dès lors que l’appelant n’a pas encore exécuté la peine privative de liberté prononcée en mars 2013. Dans la mesure où une peine pécuniaire constitue une restriction au standard de vie du condamné, partant l’atteint dans son patrimoine et touche à ce qui lui est nécessaire pour vivre, elle apparaît être la sanction la plus efficace ; dans une optique de prévention, il faut admettre que le prononcé d’une telle peine aura l’effet le plus dissuasif sur N.________. Au vu de ce qui précède, il convient donc de prononcer une peine pécuniaire de 40 jours-amende, en lieu et place de la courte peine privative de liberté infligée à l’appelant. En ce qui concerne le montant du jour-amende, il y a lieu de le fixer à 30 fr. eu égard à la situation de N.________, qui perçoit un salaire mensuel de 4'000 fr. pour son activité lucrative au gris.</w:t>
      </w:r>
    </w:p>
    <w:p>
      <w:r>
        <w:rPr>
          <w:b/>
        </w:rPr>
        <w:t>E. 5</w:t>
      </w:r>
    </w:p>
    <w:p>
      <w:r>
        <w:t>En définitive, l’appel doit être partiellement admis et le jugement du 9 juillet 2014 réformé au chiffre II de son dispositif en ce sens que N.________ est condamné à une peine pécuniaire de 40 jours-amende à 30 fr. le jour. Le jugement entrepris est pour le surplus confirmé. Vu l'issue de la cause, les frais d'appel, constitués du seul émolument de 1'280 fr. (art. 21 al. 1 et 2 TFIP  [tarif des frais de procédure et indemnités en matière pénale du 28 septembre 2010 ; RSV 312.03.1]) doivent être mis par moitié, soit par 640 fr., à la charge de N.________,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