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2015 / 135 vom 24. April 2015</w:t>
      </w:r>
    </w:p>
    <w:p>
      <w:r>
        <w:t>VD Tribunal cantonal, 2015-04-24, FR</w:t>
      </w:r>
    </w:p>
    <w:p>
      <w:r>
        <w:rPr>
          <w:b/>
        </w:rPr>
        <w:t xml:space="preserve">Quelle: </w:t>
      </w:r>
      <w:r>
        <w:t>https://mcp.opencaselaw.ch/entscheid/vd_findinfo_Jug___2015___135</w:t>
      </w:r>
    </w:p>
    <w:p>
      <w:r>
        <w:t>FR: VD_FINDINFO Jug / 2015 / 135 du 24 avril 2015</w:t>
      </w:r>
    </w:p>
    <w:p>
      <w:r>
        <w:t>IT: VD_FINDINFO Jug / 2015 / 135 del 24 aprile 2015</w:t>
      </w:r>
    </w:p>
    <w:p>
      <w:pPr>
        <w:pStyle w:val="Heading2"/>
      </w:pPr>
      <w:r>
        <w:t>Regeste</w:t>
      </w:r>
    </w:p>
    <w:p>
      <w:r>
        <w:t>ACTION EN CONSTATATION, INDIGNITÉ SUCCESSORALE, RÉSERVE SUCCESSORALE, QUOTITÉ DISPONIBLE, EXHÉRÉDATION PUNITIVE | 477 ch. 2 CC, 53 CC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en remboursement de son coupon de justice. Il n'y a pas lieu de mettre des dépens à la charge de la succession défenderesse, celle-ci ayant adhéré aux conclusions du demandeur, à l'exception de la question de la quote-part, sur laquelle elle obtient gain de cause, ni des autres défendeurs, qui s’en sont remis à justice sans accomplir aucune démarche ni présenter aucune requête qui ait compliqué, prolongé ou renchéri l’instruction.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