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124 vom 16. Februar 2015</w:t>
      </w:r>
    </w:p>
    <w:p>
      <w:r>
        <w:t>VD Tribunal cantonal, 2015-02-16, FR</w:t>
      </w:r>
    </w:p>
    <w:p>
      <w:r>
        <w:rPr>
          <w:b/>
        </w:rPr>
        <w:t xml:space="preserve">Quelle: </w:t>
      </w:r>
      <w:r>
        <w:t>https://mcp.opencaselaw.ch/entscheid/vd_findinfo_Jug___2015___124</w:t>
      </w:r>
    </w:p>
    <w:p>
      <w:r>
        <w:t>FR: VD_FINDINFO Jug / 2015 / 124 du 16 février 2015</w:t>
      </w:r>
    </w:p>
    <w:p>
      <w:r>
        <w:t>IT: VD_FINDINFO Jug / 2015 / 124 del 16 febbraio 2015</w:t>
      </w:r>
    </w:p>
    <w:p>
      <w:pPr>
        <w:pStyle w:val="Heading2"/>
      </w:pPr>
      <w:r>
        <w:t>Regeste</w:t>
      </w:r>
    </w:p>
    <w:p>
      <w:r>
        <w:t>CONTRAINTE{DROIT PÉNAL}, TENTATIVE{DROIT PÉNAL}, ABUS DE CONFIANCE, CLASSEMENT DE LA PROCÉDURE | 138 CP, 22 ad 181 CP, 319 al. 1 CPP, 393 CPP, 418 CPP</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parties plaignantes qui ont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Les recourants invoquent une violation de l'art. 138 CP. Ils reprochent au ministère public d'avoir exclu la réalisation de l'infraction d'abus de confiance en tenant pour crédibles les indications fournies par le SAN qui feraient fi de la demande de blocage adressée par S.________ le 3 juin 2003 et d'avoir statué sur la seule base des déclarations de V.________, alors que ce dernier n'aurait produit aucune pièce attestant, comme il l'allègue, qu'il aurait reçu l'accord écrit de A.R.________ pour vendre la [...].</w:t>
      </w:r>
    </w:p>
    <w:p>
      <w:r>
        <w:rPr>
          <w:b/>
        </w:rPr>
        <w:t>E. 3.2</w:t>
      </w:r>
    </w:p>
    <w:p>
      <w:r>
        <w:t>Aux termes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lequel consiste soit en une chose mobilière confiée, soit en des valeurs patrimoniales confiées. Les éléments constitutifs objectifs de l’infraction d’abus de confiance sont au nombre de quatre, à savoir (a) un auteur à qui une chose mobilière ou une valeur patrimoniale a été confiée, (b) l'objet de l'infraction qui peut consister en une chose mobilière confiée ou des valeurs patrimoniales confiées, (c) un acte d'appropriation portant sur l'objet de l'infraction et (d) un dommage.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De plus, il y a appropriation lorsque l'auteur accomplit un acte de disposition sur la chose, notamment lorsqu'il la consomme ou encore lorsqu'il manifeste qu'il veut la garder et l'utiliser pour lui-même pendant une durée indéterminée. Cela implique qu’il incorpore économiquement à son propre patrimoine la chose confiée et en dispose comme s'il en était le propriétaire. L’auteur doit donc vouloir déposséder durablement le propriétaire de la chose et vouloir la faire sienne, au moins pour un temps, tout en le manifestant par des signes extérieurs. Enfin, de par son comportement, l’auteur doit avoir causé un dommage, soit un appauvrissement. Sur le plan subjectif, l'art. 138 CP, qui est une infraction intentionnelle, comporte un élément constitutif subjectif particulier, à savoir le dessein d'enrichissement illégitime, lequel peut également être réalisé par dol éventuel (CREP 14 février 2014/123 c. 2.3 et les références citées).</w:t>
      </w:r>
    </w:p>
    <w:p>
      <w:r>
        <w:rPr>
          <w:b/>
        </w:rPr>
        <w:t>E. 3.3</w:t>
      </w:r>
    </w:p>
    <w:p>
      <w:r>
        <w:t>En l'espèce, il est constant qu'S.________ était propriétaire de la [...] achetée d'occasion à un prix indéterminé et réparée par la suite à plusieurs reprises. Comme le procureur l'a relevé, il apparaît que A.R.________ a autorisé V.________ à vendre ledit véhicule. Ce fait est d'ailleurs confirmé implicitement par les propres déclarations de B.R.________ du 10 avril 2014 (PV aud. 3), selon lesquelles un accord de son mari sur un "désir de vendre" ne dispensait pas V.________ de solliciter son accord explicite en sa qualité d'administratrice de la société. Le grief tiré du défaut d'accord explicite de l'administratrice n'est pas convaincant, car elle a reconnu que son mari jouait effectivement un rôle pratique très important, ce qui semble confirmer que V.________ a agi de bonne foi. Donc, contrairement à ce que les recourants soutiennent, peu importe que le SAN n'ait pas retrouvé la lettre qui lui aurait été adressée le 3 juin 2003 par S.________, celle-ci n'ayant pas formellement requis la protection d'un transfert indu avec l'inscription du code 178. On relève, au surplus, que dans cette affaire, la crédibilité des plaignants ne l'emporte pas sur celle du prévenu et qu'il est assez surprenant que les époux A.R.________ aient attendu plusieurs années avant de déposer plainte, celle-ci étant intervenue, de surcroît, en réaction à la dénonciation de V.________ ayant donné lieu à l'ouverture de la présente procédure pénale. Une condamnation se révèle ainsi bien moins probable qu'un acquittement et le classement apparaît justifié.</w:t>
      </w:r>
    </w:p>
    <w:p>
      <w:r>
        <w:rPr>
          <w:b/>
        </w:rPr>
        <w:t>E. 4.1</w:t>
      </w:r>
    </w:p>
    <w:p>
      <w:r>
        <w:t>Les recourants font encore valoir une violation de l'art. 181 CP en relation avec l'art. 22 CP. Ils précisent que le caractère illicite de la contrainte aurait dû être admis dès lors que le montant exigé (sous la menace de poursuites civiles et pénales) était exorbitant et sans lien avec les prestations fournies.</w:t>
      </w:r>
    </w:p>
    <w:p>
      <w:r>
        <w:rPr>
          <w:b/>
        </w:rPr>
        <w:t>E. 4.2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Sur le plan subjectif, il faut que l’auteur ait agi avec conscience et volonté, soit au moins qu’il ait accepté l’éventualité que le procédé illicite employé entrave le destinataire dans sa liberté de décision (TF 6B_54/2011 du 26 avril 2011 c. 2.2.2; CREP 8 avril 2014/267 c. 2b et les références citées). Selon l'art. 22 CP, le juge peut atténuer la peine si l'exécution d'un crime ou d'un délit n'est pas poursuivie jusqu'à son terme ou que le résultat néces-saire à la consommation de l'infraction ne se produit pas ou ne pouvait pas se pro-duire (al. 1). Il y a tentative lorsque l'auteur a réalisé tous les éléments subjectifs de l'infraction et manifesté sa décision de la commettre, alors que les éléments objectifs font en tout ou partie défaut (TF 6B_54/2011 du 26 avril 2011 op. cit. c. 2.2.2)</w:t>
      </w:r>
    </w:p>
    <w:p>
      <w:r>
        <w:rPr>
          <w:b/>
        </w:rPr>
        <w:t>E. 4.3</w:t>
      </w:r>
    </w:p>
    <w:p>
      <w:r>
        <w:t>En l'espèce, les déclarations du conseil du prévenu (P. 27/1/6) selon lesquelles il serait renoncé à toute procédure pénale dirigée contre la société si le paiement devait intervenir dans les dix jours ne sont certes pas très heureuses dans leur formulation. Toutefois, vu les nombreuses procédures ayant opposé les parties, compte tenu du contexte général très conflictuel et malsain de toute cette affaire, l'annonce d'engager une procédure civile ou de déposer une plainte pénale en cas d'inexécution du paiement exigé n'était absolument pas de nature à impressionner les dirigeants d'S.________ que sont les époux A.R.________. A l'évidence et nonobstant l'importance du montant réclamé, il n'y a pas eu la moindre entrave à la liberté d'action de ces derniers et les conditions d'application de l'art. 181 CP n'apparaissent manifestement pas réunies.</w:t>
      </w:r>
    </w:p>
    <w:p>
      <w:r>
        <w:rPr>
          <w:b/>
        </w:rPr>
        <w:t>E. 5</w:t>
      </w:r>
    </w:p>
    <w:p>
      <w:r>
        <w:t>En définitive, le recours, manifestement mal fondé, doit être rejeté sans  échange d’écritures (art. 390 al. 2 CPP) et l'ordonnance de classement confirmée. Les frais de la procédure de recours, constitués en l'espèce du seul émolument d'arrêt (art. 422 al. 1 CPP), par 1'100 fr. (art. 20 al. 1 TFIP [tarif des  frais de procédure et indemnités en matière pénale du 28 septembre 2010; RSV 312.03.1]), seront mis à la charge des recourants, qui succombent (art. 428 al.1 CPP), à parts égales et solidairement entre eux (art. 418 al. 1 et 2 CPP). Par ces motifs, la Chambre des recours pénale prononce : I. Le recours est rejeté. II. L’ordonnance du 10 décembre 2014 est confirmée. III. Les frais d’arrêt, par 1'100 fr. (mille cent francs), sont mis à la charge des recourants, à parts égales et solidairement entre eux. IV. Le présent arrêt est exécutoire. Le président :               La greffière : Du Le présent arrêt, dont la rédaction a été approuvée à huis clos, est notifié, par l'envoi d'une copie complète, à : - M. Bernard Delaloye, avocat (pour V.________), - M. Christian Favre, avocat (pour A.R.________ et S.________), - M. François Gillard, avocat (pour B.R.________),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