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112 vom 18. März 2015</w:t>
      </w:r>
    </w:p>
    <w:p>
      <w:r>
        <w:t>VD Tribunal cantonal, 2015-03-18, FR</w:t>
      </w:r>
    </w:p>
    <w:p>
      <w:r>
        <w:rPr>
          <w:b/>
        </w:rPr>
        <w:t xml:space="preserve">Quelle: </w:t>
      </w:r>
      <w:r>
        <w:t>https://mcp.opencaselaw.ch/entscheid/vd_findinfo_Jug___2015___112</w:t>
      </w:r>
    </w:p>
    <w:p>
      <w:r>
        <w:t>FR: VD_FINDINFO Jug / 2015 / 112 du 18 mars 2015</w:t>
      </w:r>
    </w:p>
    <w:p>
      <w:r>
        <w:t>IT: VD_FINDINFO Jug / 2015 / 112 del 18 marzo 2015</w:t>
      </w:r>
    </w:p>
    <w:p>
      <w:pPr>
        <w:pStyle w:val="Heading2"/>
      </w:pPr>
      <w:r>
        <w:t>Regeste</w:t>
      </w:r>
    </w:p>
    <w:p>
      <w:r>
        <w:t>INDEMNITÉ{EN GÉNÉRAL}, ACQUITTEMENT | 429 al. 1 let. a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étant limité à la question de l’indemnité de l’art. 429 CPP, la procédure écrite est applicable (art. 406 al. 1 let. d CPP).</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Niggli/Heer/Wiprächtiger [éd.], Basler Kommentar, Schweizerische Strafprozessordnung,</w:t>
      </w:r>
    </w:p>
    <w:p>
      <w:r>
        <w:rPr>
          <w:b/>
        </w:rPr>
        <w:t>E. 2</w:t>
      </w:r>
    </w:p>
    <w:p>
      <w:r>
        <w:t>L’appelante invoque une violation de l’art. 429 al. 1 let. a CPP. Elle soutient que, compte tenu de son acquittement, elle aurait droit à une indemnité au sens de cette disposition, indemnité qu’elle chiffre à 2'720 fr. pour ses frais de défense de première instance.</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 ibidem ).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Lorsqu’il s’agit de crimes ou de délits, le concours d’un avocat ne pourra qu’exceptionnellement être considéré comme un exercice non raisonnable des droits de procédure, ce qui est le cas, selon la doctrine, notamment lorsque la procédure est classée après la première audition déjà. Dans les cas juridiquement simples, l’activité de l’avocat doit se limiter au minimum, soit tout au plus à une simple consultation (cf. ATF 138 IV 197 c. 2.3.5, JT 2013 IV 197 ; Wehrenberg/Bernhard, in : Niggli/Heer/Wiprächtiger [éd.], op. cit., n. 14 ad art. 429 CPP ; Mizel/Rétornaz, in : Kuhn/Jeanneret [éd.], Code de procédure pénale suisse, Commentaire romand, Bâle 2011, n. 31 ad art. 429 CPP). (ATF 138 IV 197 c. 2.3.5).</w:t>
      </w:r>
    </w:p>
    <w:p>
      <w:r>
        <w:rPr>
          <w:b/>
        </w:rPr>
        <w:t>E. 2.2</w:t>
      </w:r>
    </w:p>
    <w:p>
      <w:r>
        <w:t>En l’espèce, en présence de versions totalement contradictoires des parties quant au déroulement des événements du 29 mars 2014, la cause présentait certes quelques difficultés de fait, mais toutefois pas, prima facie, au point de considérer la participation d’un avocat comme nécessaire, au vu notamment du rapport de police concluant à ce qu’il n’était pas possible de déterminer, en l’état, si un vol avait bel et bien eu lieu et, le cas échéant, qui en était l’auteur (pièce 4), et compte tenu du résultat de la perquisition de la police au domicile de la prévenue, où aucun objet correspondant à ceux qui auraient été volés n’a été retrouvé (pièce 5 ; jugt, p. 16). Le dossier ne comportait par ailleurs aucune difficulté en droit. Néanmoins, malgré les conclusions du rapport de police, les dénégations de la prévenue très difficilement vérifiables et l’absence d’indices objectifs en faveur d’un vol, la procédure a été poursuivie et le Procureur a, par ordonnance pénale, condamné l’appelante pour ce chef d’accusation. Ce n’est qu’ensuite de l’intervention de l’avocate Sandrine Chiavazza postérieurement à l’opposition de la prévenue contre cette ordonnance pénale et à l’audition des témoins requise par la défense (pièce 12) que le tribunal a prononcé un acquittement en faveur de B.________. On ne saurait, dans ces circonstances, dénier à l’appelante le droit à une indemnisation au sens de l’art. 429 al. 1 let. a CPP, aucun comportement fautif ne pouvant par ailleurs lui être reproché au sens de l’art. 430 al. 1 let. a CPP.</w:t>
      </w:r>
    </w:p>
    <w:p>
      <w:r>
        <w:rPr>
          <w:b/>
        </w:rPr>
        <w:t>E. 2.3</w:t>
      </w:r>
    </w:p>
    <w:p>
      <w:r>
        <w:t>Le conseil de la prévenue indique avoir consacré environ 8 heures 30 à la procédure de première instance. Ce total est trop élevé, au vu de la nature de la cause, qui, comme on l’a relevé plus haut, ne présente aucune difficulté en droit. Il est en particulier excessif de compter près de 2 heures pour la rédaction de lettres et courriels et de se prévaloir de 2 heures 30 pour l’étude du dossier et la préparation de l’audience (pièce 15/2). Tout bien considéré, il convient d’allouer 1 heure pour l’étude du dossier et les correspondances, 1 heure également pour les entretiens avec la cliente et tout autant pour la préparation de l’audience, ainsi que 2 heures pour l’audience du 19 janvier 2015, soit au total 5 heures. S’agissant dans le cas présent d’une cause de police simple et compte tenu de l’ensemble des circonstances, il paraît adéquat de fixer l’indemnité due à la prévenue sur la base d’un tarif horaire de 300 fr. (art. 26a TFIP [Tarif des frais de procédure et indemnités en matière pénale ; RSV 312.03.1]). Le montant de l’indemnité sera donc de 1’500 fr. correspondant à 5 heures au tarif horaire de 300 fr., montant auquel s’ajoutent la TVA de 8 %, par 120 fr., et 180 fr. de déplacement, soit un total de 1'800 francs.</w:t>
      </w:r>
    </w:p>
    <w:p>
      <w:r>
        <w:rPr>
          <w:b/>
        </w:rPr>
        <w:t>E. 3.1</w:t>
      </w:r>
    </w:p>
    <w:p>
      <w:r>
        <w:t>En conclusion, l’appel est partiellement admis. Le jugement de première instance est modifié en ce sens qu’une indemnité fondée sur l’art. 429 al. 1 let. a CPP de 1'800 fr. est allouée à B.________ ; il est confirmé pour le surplus.</w:t>
      </w:r>
    </w:p>
    <w:p>
      <w:r>
        <w:rPr>
          <w:b/>
        </w:rPr>
        <w:t>E. 3.2</w:t>
      </w:r>
    </w:p>
    <w:p>
      <w:r>
        <w:t>Vu l’issue de la cause, les frais de la procédure d’appel, constitués du seul émolument d’arrêt, par 660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