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110 vom 26. März 2015</w:t>
      </w:r>
    </w:p>
    <w:p>
      <w:r>
        <w:t>VD Tribunal cantonal, 2015-03-26, FR</w:t>
      </w:r>
    </w:p>
    <w:p>
      <w:r>
        <w:rPr>
          <w:b/>
        </w:rPr>
        <w:t xml:space="preserve">Quelle: </w:t>
      </w:r>
      <w:r>
        <w:t>https://mcp.opencaselaw.ch/entscheid/vd_findinfo_Jug___2015___110</w:t>
      </w:r>
    </w:p>
    <w:p>
      <w:r>
        <w:t>FR: VD_FINDINFO Jug / 2015 / 110 du 26 mars 2015</w:t>
      </w:r>
    </w:p>
    <w:p>
      <w:r>
        <w:t>IT: VD_FINDINFO Jug / 2015 / 110 del 26 marzo 2015</w:t>
      </w:r>
    </w:p>
    <w:p>
      <w:pPr>
        <w:pStyle w:val="Heading2"/>
      </w:pPr>
      <w:r>
        <w:t>Regeste</w:t>
      </w:r>
    </w:p>
    <w:p>
      <w:r>
        <w:t>LIBÉRATION CONDITIONNELLE | 86 CP, 26 LEP, 393 CPP (CH)</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par renvoi de l'art. 38 al. 2 LEP. Le recours doit être adressé par écrit, dans un délai de dix jours dès la notification de la décision attaquée (cf. art. 384 let. b CPP), à l’autorité de recours (art. 396 al. 1 CPP).</w:t>
      </w:r>
    </w:p>
    <w:p>
      <w:r>
        <w:rPr>
          <w:b/>
        </w:rPr>
        <w:t>E. 1.2</w:t>
      </w:r>
    </w:p>
    <w:p>
      <w:r>
        <w:t>Transmis à l’autorité compétente par le magistrat saisi, le recours a été interjeté en temps utile (art. 91 al. 4 et 396 CPP; CREP 23 janvier 2015/46).</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Maire, La libération conditionnelle, in: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c. 2.3).</w:t>
      </w:r>
    </w:p>
    <w:p>
      <w:r>
        <w:rPr>
          <w:b/>
        </w:rPr>
        <w:t>E. 2.2</w:t>
      </w:r>
    </w:p>
    <w:p>
      <w:r>
        <w:t>E.________ ayant été condamné à un total de 365 jours de peine privative de liberté, la condition objective des deux tiers de la peine prévue par l'art. 86 al. 1 CP (243 jours) est réalisée depuis le 1 er mars 2015. La condition du bon comportement du recourant en détention doit être considérée comme réalisée au vu des indications fournies par la Prison du Bois-Mermet le 17 novembre 2014. Il reste donc à examiner la troisième condition posée à l'art. 86 al. 1 CP, celle relative au pronostic. Le recourant demande sa libération conditionnelle immédiate arguant qu'il se trouverait dans l'obligation d'entreprendre des démarches judiciaires, étant partie à plusieurs procédures pénales, et administratives, lui permettant de reconnaître son fils, les deux tiers de ses peines exécutoires ayant été atteints le 1 er mars 2015. Autrement dit, il veut être libéré conditionnellement, mais sans renvoi de Suisse. Les arguments du recourant ne sont pas pertinents et son raisonnement est erroné. Une libération effectuée en Suisse conduira immanquablement celui-ci à la récidive, vu son absence de statut légal et ses antécédents. Un pronostic non défavorable peut être retenu uniquement en cas de réinsertion dans un pays où il a le droit de résider et de travailler. Son élargissement anticipé doit dès lors être subordonné à son renvoi en Tunisie et deviendra effectif à la première date possible pour celui-ci.</w:t>
      </w:r>
    </w:p>
    <w:p>
      <w:r>
        <w:rPr>
          <w:b/>
        </w:rPr>
        <w:t>E. 3</w:t>
      </w:r>
    </w:p>
    <w:p>
      <w:r>
        <w:t>Il résulte de ce qui précède que le recours, manifestement mal fondé, doit être rejeté, et l’ordonnance du 11 mars 2015 confirmée.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11 mars 2015 est confirmée. III. Les frais d’arrêt, par 880 fr. (huit cent huitante francs), sont mis à la charge de E.________. IV. Le présent arrêt est exécutoire. Le président :               La greffière : Du Le présent arrêt, dont la rédaction a été approuvée à huis clos, est notifié, par l'envoi d'une copie complète, à : - E.________, - Ministère public central, et communiqué à : ‑ Mme la Juge d’application des peines, - Mme le Procureur de l'arrondissement de Lausanne, - Office d’exécution des peines (réf : OEP/PPL/47442/VRI/AM), - Direction de la Prison du Bois-Mermet, - Direction de la Prison de la Croisée,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