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103 vom 2. September 2014</w:t>
      </w:r>
    </w:p>
    <w:p>
      <w:r>
        <w:t>VD Tribunal cantonal, 2014-09-02, FR</w:t>
      </w:r>
    </w:p>
    <w:p>
      <w:r>
        <w:rPr>
          <w:b/>
        </w:rPr>
        <w:t xml:space="preserve">Quelle: </w:t>
      </w:r>
      <w:r>
        <w:t>https://mcp.opencaselaw.ch/entscheid/vd_findinfo_Jug___2015___103</w:t>
      </w:r>
    </w:p>
    <w:p>
      <w:r>
        <w:t>FR: VD_FINDINFO Jug / 2015 / 103 du 2 septembre 2014</w:t>
      </w:r>
    </w:p>
    <w:p>
      <w:r>
        <w:t>IT: VD_FINDINFO Jug / 2015 / 103 del 2 settembre 2014</w:t>
      </w:r>
    </w:p>
    <w:p>
      <w:pPr>
        <w:pStyle w:val="Heading2"/>
      </w:pPr>
      <w:r>
        <w:t>Regeste</w:t>
      </w:r>
    </w:p>
    <w:p>
      <w:r>
        <w:t>VOL{DROIT PÉNAL}, AFFILIATION À UNE BANDE, DOMMAGES À LA PROPRIÉTÉ{DROIT PÉNAL}, VIOLATION DE DOMICILE, RECEL | 139 ch. 1 CP, 139 ch. 2 CP, 139 ch. 3 CP, 139 CP, 144 al. 1 CP, 144 CP, 160 ch. 1 CP, 160 CP, 186 CP, 40 CP, 46 al. 1 CP, 46 CP, 47 CP, 49 al. 1 CP, 49 al. 2 CP, 49 CP, 51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W.________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sa culpabilité et, partant, sa condamnation. Il invoque une violation de la présomption d'innocence. Il fait valoir qu'il aurait été condamné avant même la tenue des débats, car un jugement de première instance du 5 novembre 2013 concernant [...] (cause PE12.010553-/LA) le déclarait débiteur solidaire de celui-ci d'une indemnité d'un montant de 1'020 fr (ch. IV du dispositif). Il aurait donc été reconnu coupable avant même d'être jugé.</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l 38 c. 2a; TF 6B_831/2009 du 25 mars 2010 c. 2. 2. 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 2. 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l 38 c. 2a; TF 6B_18/2011 du 6 septembre 2011 c. 2. 1).</w:t>
      </w:r>
    </w:p>
    <w:p>
      <w:r>
        <w:rPr>
          <w:b/>
        </w:rPr>
        <w:t>E. 3.2</w:t>
      </w:r>
    </w:p>
    <w:p>
      <w:r>
        <w:t>Contrairement à ce que soutient l'appelant, il n'a pas été condamné avant d'être jugé. A aucun moment, les premiers juges ne se sont référés à la décision du 5 novembre 2013 pour étayer la condamnation. Ils ont au contraire fondé leur conviction sur un ensemble d'éléments probatoires (soit, en particulier, les témoignages et les preuves techniques) résultant exclusivement de l'instruction menée dans le cadre de la procédure dirigée contre l'appelant et non sur des éléments de celle dirigée contre [...]. Si le jugement entrepris mentionne l'appelant comme débiteur solidaire avec [...] et P.________ (jugement en p. 23), c'est manifestement pour régler dans une décision les conséquences civiles résultant des prétentions d'un lésé, sans que cela n'ait influé sur le jugement attaqué, les premiers juges exposant en pages 14 à 21 dudit jugement les motifs de leur conviction.</w:t>
      </w:r>
    </w:p>
    <w:p>
      <w:r>
        <w:rPr>
          <w:b/>
        </w:rPr>
        <w:t>E. 3.3</w:t>
      </w:r>
    </w:p>
    <w:p>
      <w:r>
        <w:t>L'appelant soutient ensuite qu'il aurait dû être acquitté, à défaut d'éléments techniques l'incriminant, les déclarations de son coaccusé étant par ailleurs peu claires et contradictoires. Il conteste en outre avoir séjourné au domicile de[...] et se prévaut des déclarations de celui-ci. Il justifie l'envoi d'argent à son épouse par la rémunération de son travail accompli en France notamment. Contrairement à ce que soutient l'appelant, le tribunal ne s'est pas seulement fondé sur les mises en causes du comparse P.________, qu'il a considérées comme claires et précises, pour le condamner. Il s'est également référé aux déclarations de [...] qui a exposé avoir surpris à plusieurs reprises des conversations de l'appelant avec [...] et P.________ au sujet de projets de cambriolages, de même qu'aux déclarations de [...] qui a observé les allées et venues nocturnes des comparses, qui revenaient parfois au petit matin avec des appareils photographiques et des ordinateurs (jugement p. 15). Le tribunal s'est encore fondé sur les données extraites des téléphones portables saisis permettant la géolocalisation des prévenus dans la région des cambriolages (jugement, p. 16). Enfin, les premiers juges se sont fondés sur les transferts d'argent du prévenu à son épouse (même page). L'ensemble de ces éléments ne laisse place à aucun doute. Il en va de même pour l'infraction de recel dans le cas rapporté sous chiffre 5 de l'acte d'accusation du 31 juillet 2013 (cf. supra p. 8), le tribunal se fondant à nouveau sur les déclarations concordantes de P.________ et [...], ainsi que sur la perquisition effectuée au domicile de [...] (jugement pp. 19 et 20). Enfin, pour le cas de cambriolage du 20 novembre 2013, le tribunal s'est basé sur l'ADN du prévenu déposé sur un tournevis retrouvé sur les lieux de l'infraction et l'appelant n'expose aucun grief à ce sujet.</w:t>
      </w:r>
    </w:p>
    <w:p>
      <w:r>
        <w:rPr>
          <w:b/>
        </w:rPr>
        <w:t>E. 4</w:t>
      </w:r>
    </w:p>
    <w:p>
      <w:r>
        <w:t>L'appelant conteste encore, à titre subsidiaire, les qualifications de vol par métier (art. 139 ch. 2 CP) et de recel (160 CP), en vain. En effet, il est manifestement un voleur professionnel, comme en attestent ses casiers judiciaires suisse et roumain. Il n'a aucune autre source de revenu que le produit de ses infractions, de sorte que le butin obtenu constitue un apport notable à son train de vie, conformément à la définition jurisprudentielle du métier. A cet égard, le Tribunal fédéral considère que la circonstance aggravante du métier peut être retenue lorsqu'il résulte du temps et des moyens que consacre l'auteur à ses agissements délictueux, de la fréquence des actes pendant une période déterminée, ainsi que des revenus envisagés ou obtenus, que l'auteur exerce son activité coupable à la manière d'une profession, même accessoire. Il faut en ce sens que l'auteur aspire à obtenir des revenus relativement réguliers représentant un apport notable au financement de son genre de vie et qu'il se soit ainsi, d'une certaine façon, installé dans la délinquance (ATF 129 IV 253 c. 2.2; ATF 129 IV 188 = JT 2004 IV 42; ATF 123 IV 113 c.2). Tel est manifestement le cas en l'espèce. Quant à la contestation juridique du recel, l'appelant ne la motive pas et on ne voit pas, compte tenu des faits retenus, comment il pourrait contester la réalisation des éléments objectifs et subjectifs de cette infraction, tant il est évident qu'il a reçu et dissimulé des objets qu'il savait dérobés, ce qu'il admet d'ailleurs partiellement lors de son audition du 21 juin 2012 (PV aud. 16).</w:t>
      </w:r>
    </w:p>
    <w:p>
      <w:r>
        <w:rPr>
          <w:b/>
        </w:rPr>
        <w:t>E. 5</w:t>
      </w:r>
    </w:p>
    <w:p>
      <w:r>
        <w:t>L'appelant s'en prend enfin à la peine, qu'il prétend avoir été fixée uniquement en considération de la prévention générale. Il conteste aussi le refus du sursis, au motif que toutes les condamnations figurant à son casier judiciaire suisse sont postérieures aux faits de la présente cause.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Le droit au sursis s'examine selon les critères posés à l'art. 42 CP qui ont été rappelés dans l'arrêt publié aux ATF 135 IV 180 c. 2.1. Le sursis est désormais la règle dont on ne peut s'écarter qu'en présence d'un pronostic défavorable. Il prime en cas d'incertitude (ATF 134 IV 5 c. 4.2.2).</w:t>
      </w:r>
    </w:p>
    <w:p>
      <w:r>
        <w:rPr>
          <w:b/>
        </w:rPr>
        <w:t>E. 5.2</w:t>
      </w:r>
    </w:p>
    <w:p>
      <w:r>
        <w:t>Les premiers juges ont fixé la peine selon des critères conformes à l'art. 47 CP, au demeurant clairement exposés en page 21 du jugement attaqué. Ainsi, contrairement à ce que soutient l'appelant, ils ont avancé en premier lieu des motifs de prévention spéciale pour fixer la sanction, en relevant qu'il est un délinquant d'habitude, que ses récidives démontrent qu'il s'enlise dans cette voie et qu'il ne montre aucun signe de prise de conscience, en persistant à nier l'évidence. Ils ont encore retenu à charge le concours d'infractions et à décharge le fait que l'appelant est issu d'un milieu défavorisé. Cette motivation est adéquate et la cour de céans peut la faire sienne. Comme l'ont considéré les premiers juges, le sursis est exclu au vu de la multiplicité des condamnations prononcées en Suisse, de l'attitude dans la procédure et de l'absence de tout renseignement, en particulier professionnel, permettant d'imaginer que l'appelant fera autre chose que voler. Le pronostic est ainsi clairement défavorable, même si les condamnations prononcées en Suisse sont postérieures aux faits délictueux.</w:t>
      </w:r>
    </w:p>
    <w:p>
      <w:r>
        <w:rPr>
          <w:b/>
        </w:rPr>
        <w:t>E. 6</w:t>
      </w:r>
    </w:p>
    <w:p>
      <w:r>
        <w:t>En définitive, l'appel de W.________ doit être rejeté.</w:t>
      </w:r>
    </w:p>
    <w:p>
      <w:r>
        <w:rPr>
          <w:b/>
        </w:rPr>
        <w:t>E. 7</w:t>
      </w:r>
    </w:p>
    <w:p>
      <w:r>
        <w:t>Me Raphaël Brochellaz, défenseur d'office de W.________ a produit une liste d'opérations faisant état d'un montant de 1'939 fr. 65. Compte tenu de l'ampleur de la procédure et de la connaissance du dossier déjà acquise en première instance, il se justifie d'accorder une l'indemnité d'office de 1'907 fr. 30, ce qui correspond, audience incluse, à 9 heures à 180 fr., 120 fr. de déplacement, 26 fr. de débours et</w:t>
      </w:r>
    </w:p>
    <w:p>
      <w:r>
        <w:rPr>
          <w:b/>
        </w:rPr>
        <w:t>E. 8</w:t>
      </w:r>
    </w:p>
    <w:p>
      <w:r>
        <w:t>% de TVA. Vu le sort de l'appel, les frais de seconde instance, constitués de l'émolument d'arrêt, par 3'847 fr. 30, y compris l'indemnité due au défenseur d'office, par 1'907 fr. 30, sont mis à la charge de W.________, qui succombe (art. 428 al. 1 CPP). W.________ ne sera tenu de rembourser à l'Etat l'indemnité d'office accordée à son mandataire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