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92 vom 20. Februar 2014</w:t>
      </w:r>
    </w:p>
    <w:p>
      <w:r>
        <w:t>VD Tribunal cantonal, 2014-02-20, FR</w:t>
      </w:r>
    </w:p>
    <w:p>
      <w:r>
        <w:rPr>
          <w:b/>
        </w:rPr>
        <w:t xml:space="preserve">Quelle: </w:t>
      </w:r>
      <w:r>
        <w:t>https://mcp.opencaselaw.ch/entscheid/vd_findinfo_Jug___2014___92</w:t>
      </w:r>
    </w:p>
    <w:p>
      <w:r>
        <w:t>FR: VD_FINDINFO Jug / 2014 / 92 du 20 février 2014</w:t>
      </w:r>
    </w:p>
    <w:p>
      <w:r>
        <w:t>IT: VD_FINDINFO Jug / 2014 / 92 del 20 febbraio 2014</w:t>
      </w:r>
    </w:p>
    <w:p>
      <w:pPr>
        <w:pStyle w:val="Heading2"/>
      </w:pPr>
      <w:r>
        <w:t>Regeste</w:t>
      </w:r>
    </w:p>
    <w:p>
      <w:r>
        <w:t>HOMICIDE PAR NÉGLIGENCE, INDUCTION DE LA JUSTICE EN ERREUR, SOUSTRACTION À LA PRISE DE SANG, CONDUITE SANS AUTORISATION | 106 CP, 117 CP, 24 ad 304 ch. 1 CP, 91a al. 1 LCR, 92 al. 1 LCR</w:t>
      </w:r>
    </w:p>
    <w:p>
      <w:pPr>
        <w:pStyle w:val="Heading2"/>
      </w:pPr>
      <w:r>
        <w:t>Erwägungen</w:t>
      </w:r>
    </w:p>
    <w:p>
      <w:r>
        <w:rPr>
          <w:b/>
        </w:rPr>
        <w:t>E. 1</w:t>
      </w:r>
    </w:p>
    <w:p>
      <w:r>
        <w:t>Interjeté dans les forme et délai légaux par une partie ayant qualité pour recourir contre le jugement du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ne conteste plus sa responsabilité dans l’accident survenu 13 septembre 2011 et admet sa condamnation pour homicide par négligence, instigation à induction de la justice en erreur, opposition ou dérobade aux mesures visant à déterminer l’incapacité de conduire, violation des devoirs en cas d’accident et conduite sous retrait de permis. Il conteste toutefois la quotité de la peine prononcée par les premiers juges, qu’il estime « extrêmement » sévère. Il soutient avoir été très affecté par les conséquences de son comportement et invoque le bénéfice de l’art. 54 CP. Il soutient en outre qu’un travail d’intérêt général suffirait à le punir.</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ATF 129 IV 6 c. 6.1; TF 6B_759/2011 du 19 avril 2012 c. 1.1). Le comportement de l’auteur postérieurement à l’acte constitue un élément à prendre en compte lors de la fixation de la peine, pour autant qu’il permette d’en tirer des déductions, sur l’intéressé et son attitude par rapport à ses actes (TF 6B_203/ 2010 du 27 mai 2010 c. 5.3.4).</w:t>
      </w:r>
    </w:p>
    <w:p>
      <w:r>
        <w:rPr>
          <w:b/>
        </w:rPr>
        <w:t>E. 3.1.2</w:t>
      </w:r>
    </w:p>
    <w:p>
      <w:r>
        <w:t>L’art. 54 CP dispose que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JT 2011 IV 378; Favre/Pellet/Stoudmann, Code pénal annoté, 3 e éd., Lausanne 2007, n. 1.2 et 1.3 ad art. 54 CP).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(TF 6B_111/2009 du 16 juillet 2009, c. 3.2).</w:t>
      </w:r>
    </w:p>
    <w:p>
      <w:r>
        <w:rPr>
          <w:b/>
        </w:rPr>
        <w:t>E. 3.2</w:t>
      </w:r>
    </w:p>
    <w:p>
      <w:r>
        <w:t>En l’espèce, les premiers juges ont considéré que la culpabilité de P.________ est lourde. Ils ont retenu à charge ses lourds antécédents, son caractère égoïste, l’atteinte qu’il a porté au bien juridique protégé le plus important de notre ordre juridique, la vie, qui plus est d’une enfant, le manque de prise de conscience réelle de sa responsabilité et d’empathie pour la famille de sa victime, sa persistance à se poser en victime ainsi que le concours des infractions. A décharge, ils ont tenu compte de la situation personnelle du prévenu et de la convention partielle sur intérêts civils conclues aux débats. Les premiers juges ont conclu que seule une peine privative de liberté entrait en considération et que la peine devait être ferme, le pronostic étant défavorable faute pour le prévenu d’avoir pris conscience de la gravité de ses actes et compte tenu de ses nombreux antécédents en matière de LCR (jgt., p. 51 et 52). Comme les premiers juges, la Cour de céans considère que la culpabilité de l’appelant est lourde. En effet, si la faute de circulation à l’origine du décès est certes de gravité moyenne, il y a toutefois lieu de tenir compte à charge des autres infractions commises, nombreuses et graves, en particulier la conduite sous retrait de permis, qui est un délit susceptible d’une peine privative de liberté de 3 ans au maximum, cela depuis le 1 er janvier 2005. Sous cet angle déjà, l’appelant, qui est condamné pour la sixième fois pour ce motif, dont deux fois à des peines privative de liberté fermes, a montré une telle insensibilité à la sanction pénale jusqu’à commettre l’irréparable, que la sévérité dont se sont prévalus les premiers juges apparaît entièrement justifiée. A décharge, la Cour de céans prendra également en compte l’admission, quoi que tardive, de sa responsabilité par l’appelant dans la survenance de l’accident. En outre, le déplacement du véhicule, sanctionné par la violation des devoirs en cas d’accident, et l’induction de la justice en erreur montrent l’appelant sous un jour très défavorable. Il en va de même de ses dénégations jusqu’à l’audience d’appel. Toutes ces circonstances à charge l’emportent à l’évidence sur l’atteinte que prétend avoir subi l’appelant, qui paraît surtout se lamenter sur son sort et vouloir se poser, de manière indécente, en victime. L’application de l’art. 54 CP est dès lors clairement exclue. Compte tenu de l’ensemble de ces éléments seule une peine privative de liberté est envisageable pour des motifs de prévention spéciale. P.________ ayant reconnu sa responsabilité dans l’accident aux débats de deuxième instance, ce qui laisse entrevoir un début de prise de conscience, il se justifie de réduire quelque peu la peine prononcée en première instance.</w:t>
      </w:r>
    </w:p>
    <w:p>
      <w:r>
        <w:rPr>
          <w:b/>
        </w:rPr>
        <w:t>E. 4</w:t>
      </w:r>
    </w:p>
    <w:p>
      <w:r>
        <w:t>A titre subsidiaire, dans le cas où une peine privative de liberté devait être prononcée à son encontre, l’appelant requiert l’octroi du sursis. Il met en avant sa collaboration tout au long de la procédure pénale ainsi que les deux condamnations dont il a fait l’objet au cours des cinq dernières années, soit les</w:t>
      </w:r>
    </w:p>
    <w:p>
      <w:r>
        <w:rPr>
          <w:b/>
        </w:rPr>
        <w:t>E. 4.1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5 c.4.4.2; TF 6B_541/2007 du 13 mai 2008, c.2.2 et la jurisprudence citée).</w:t>
      </w:r>
    </w:p>
    <w:p>
      <w:r>
        <w:rPr>
          <w:b/>
        </w:rPr>
        <w:t>E. 4.2</w:t>
      </w:r>
    </w:p>
    <w:p>
      <w:r>
        <w:t>En l’espèce, comme on l’a vu, c’est la sixième fois que l’appelant est condamné pour des infractions de circulation routière. Les condamnations ont été prononcées en 2003, 2005, 2006, 2010 et la dernière fois en 2011, soit quelques mois avant l’accident mortel. C’est donc en vain que, sur le plan de ses antécédents, l’appelant ne fait état que des deux dernières condamnations prononcées. Le pronostic apparaît clairement défavorable, compte tenu de la propension durable à ne pas respecter les règles de circulation routière. En outre, l’appelant a persisté longtemps à nier sa responsabilité dans l’accident, selon des versions successives servies après avoir déterminé son passager à induire les autorités de poursuite pénales en erreur. La prétendue prise de conscience n’est ainsi que très incomplète. Partant, le refus du sursis doit être confirmé. 5. En définitive, l’appel de P.________ est partiellement admis en ce sens que la peine privative de liberté prononcée à son encontre est réduite de deux ans à vingt mois. Le jugement rendu le 1 er octobre 2013 par le Tribunal correctionnel de l’arrondissement de l’Est vaudois est confirmé pour le surplus. Il n’y a pas lieu de modifier le sort des frais de première instance dès lors que l’issue de l’action pénale est inchangée, l’appelant n’obtenant gain de cause que très partiellement sur la quotité de la peine qui lui infligée. 6. Vu le sort de la cause, les frais de la procédure d'appel seront mis par quatre cinquième à la charge de P.________, le solde étant laissé à la charge de l’Etat. Outre l'émolument, qui se monte à 2'130 fr. (art. 21 al. 1 et 2 TFJP [Tarif des frais judiciaires pénaux du 28 septembre 2010; RSV 312.03.1]), ces frais comprennent l’indemnité allouée au défenseur d’office et celles allouées aux conseils d’office des plaignants. 7. Me Martine Rüdlinger a produit une liste d'opérations effectuées en deuxième instance, pour un montant total de 20 heures et 30 minutes. 7.1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7.2 La liste des opérations produite par Me Martine Rüdlinger fait état de nombreux courriers dont la durée de rédaction a été fixée de manière schématique, sans lien pour certaines avec la durée réelle. Partant, le temps consacré à l’exercice de son mandat tel qu’il est mentionné dans sa liste d’opérations est trop important. Tout bien considéré, il convient d’admettre que le défenseur du prévenu a dû consacrer 16 heures à l’exercice de son mandat. Il y a en outre lieu d’ajouter une indemnité de déplacement de 120 fr. ainsi qu’un montant de 100 fr. à titre de débours. En définitive, c’est une indemnité de défenseur d'office pour la procédure d'appel d'un montant de 3'348 fr., TVA et débours inclus, qui doit être allouée à Me Martine Rüdlinger. Une indemnité de conseil d’office pour la procédure d’appel est allouée par 2'181 fr. 60 (deux mille cent huitante et un francs et soixante centimes), TVA et débours inclus, à Me Xavier Diserens, et par 2’257 fr. 20 (deux mille deux cent cinquante sept francs et vingt centimes), TVA et débours compris, à Me Tiphanie Chappuis. P.________ ne sera tenu de rembourser à l’Etat le quatre cinquième de l’indemnité en faveur de son défenseur d’office ainsi que des indemnités allouées aux conseils d’office des plaignants, que lorsque sa situation financière le permettra (art. 135 al. 4 let. a CPP). 8. Enfin, il s’avère que le dispositif communiqué après l’audience d’appel contient une erreur de plume dans la mesure où il indique que P.________ est notamment débiteur d’un montant de 10'000 fr. à titre de tort moral en faveur de B.F.________, en lieu et place du montant de 15'000 fr. alloué par le Tribunal correctionnel au chiffre V de son dispositif. S’agissant d’une erreur manifeste, le dispositif doit être modifié d’office en application de l’art. 83 CP.</w:t>
      </w:r>
    </w:p>
    <w:p>
      <w:r>
        <w:rPr>
          <w:b/>
        </w:rPr>
        <w:t>E. 9</w:t>
      </w:r>
    </w:p>
    <w:p>
      <w:r>
        <w:t>juin 2010 et 25 janvier 2011, respectivement à une peine pécuniaire de 60 jours-amende à 30 fr. et à une peine pécuniaire de 90 jours-amende à 30 francs. Il considère qu’en l’absence d’un pronostic défavorable, c’est une peine assortie du sursis qui devrait lui être infligée.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