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90 vom 20. März 2014</w:t>
      </w:r>
    </w:p>
    <w:p>
      <w:r>
        <w:t>VD Tribunal cantonal, 2014-03-20, FR</w:t>
      </w:r>
    </w:p>
    <w:p>
      <w:r>
        <w:rPr>
          <w:b/>
        </w:rPr>
        <w:t xml:space="preserve">Quelle: </w:t>
      </w:r>
      <w:r>
        <w:t>https://mcp.opencaselaw.ch/entscheid/vd_findinfo_Jug___2014___90</w:t>
      </w:r>
    </w:p>
    <w:p>
      <w:r>
        <w:t>FR: VD_FINDINFO Jug / 2014 / 90 du 20 mars 2014</w:t>
      </w:r>
    </w:p>
    <w:p>
      <w:r>
        <w:t>IT: VD_FINDINFO Jug / 2014 / 90 del 20 marzo 2014</w:t>
      </w:r>
    </w:p>
    <w:p>
      <w:pPr>
        <w:pStyle w:val="Heading2"/>
      </w:pPr>
      <w:r>
        <w:t>Regeste</w:t>
      </w:r>
    </w:p>
    <w:p>
      <w:r>
        <w:t>ASSISTANCE JUDICIAIRE | 132 CPP (CH)</w:t>
      </w:r>
    </w:p>
    <w:p>
      <w:pPr>
        <w:pStyle w:val="Heading2"/>
      </w:pPr>
      <w:r>
        <w:t>Erwägungen</w:t>
      </w:r>
    </w:p>
    <w:p>
      <w:r>
        <w:rPr>
          <w:b/>
        </w:rPr>
        <w:t>E. 1</w:t>
      </w:r>
    </w:p>
    <w:p>
      <w:r>
        <w:t>Aux termes de l’art. 393 al. 1 let. a CPP (Code de procédure pénale suisse du 5 octobre 2007; RS 312.0), le recours est recevable contre les décisions et actes de procédure du Ministère public. Une décision du Ministère public refusant d’ordonner une défense d’office (art. 132 CPP) est ainsi susceptible de recours selon les art. 393 ss CPP (Harari/Aliberti, in: Kuhn/Jeanneret (éd.), Commentaire romand, Code de procédure pénale suisse, Bâle 2011, n. 11 ad art. 132 CPP). Ce recours s’exerce auprès de l’autorité de recours (cf. art. 20 al. 1 let. b CPP), qui, dans le canton de Vaud, est la Chambre des recours pénale du Tribunal cantonal (art. 13 LVCPP [loi d’introduction du code de procédure pénale suisse; RSV 312.01]; art. 80 LOJV [loi d’organisation judiciaire; RSV 173.01]). Le recours doit être adressé par écrit, dans un délai de dix jours dès la notification de la décision attaquée (cf. art. 384 let. b CPP), à l’autorité de recours (art. 396 al. 1 CPP). En l’occurrence, interjeté en temps utile, devant l’autorité compétente et satisfaisant aux conditions de forme posées à l’art. 385 al. 1 CPP, le recours de O.________ est recevable.</w:t>
      </w:r>
    </w:p>
    <w:p>
      <w:r>
        <w:rPr>
          <w:b/>
        </w:rPr>
        <w:t>E. 2</w:t>
      </w:r>
    </w:p>
    <w:p>
      <w:r>
        <w:t>Le recourant fait grief au Ministère public d'avoir violé l'art. 132 CPP. Il prétend que les conditions de la désignation d’un défenseur seraient remplies.</w:t>
      </w:r>
    </w:p>
    <w:p>
      <w:r>
        <w:rPr>
          <w:b/>
        </w:rPr>
        <w:t>E. 2.1</w:t>
      </w:r>
    </w:p>
    <w:p>
      <w:r>
        <w:t>En dehors des cas de défense obligatoire au sens de l’art. 130 CPP – hypothèses non réalisées en l'espèce –, la direction de la procédure ordonne une défense d’office si le prévenu ne dispose pas des moyens nécessaires et que l’assistance d’un défenseur est justifiée pour sauvegarder ses intérêts (art. 132 al. 1 let. b CPP), ces deux conditions étant cumulatives (TF 1B_477/2011 du 4 janvier 2012 c. 2.2; Harari/Aliberti, op.cit., n. 55 ad art. 132 CPP). La seconde condition s'interprète à l'aune des critères mentionnés à l'art. 132 al. 2 et 3 CPP (Harari/Aliberti, op.cit., nn. 60 ss ad art. 132 CPP). Aux termes de l’art. 132 al. 2 CPP, une défense d’office aux fins de protéger les intérêts du prévenu indigent se justifie notamment lorsque l’affaire n’est pas de peu de gravité et – condition cumulative (Harari/Aliberti, op. cit., n. 61 ad art. 132 CPP; TF 1B_359/2010 du 13 décembre 2010 c. 3.2) – qu’elle présente, sur le plan des faits ou du droit, des difficultés que le prévenu seul ne pourrait pas surmonter. L'art. 132 al. 3 CPP précise qu'en tout état de cause, une affaire n’est pas de peu de gravité lorsque le prévenu est passible d’une peine privative de liberté de plus de quatre mois, d’une peine pécuniaire de plus de 120 jours-amende ou d’un travail d’intérêt général de plus de 480 heures. Selon la jurisprudence du Tribunal fédéral, le point décisif est toujours de savoir si la désignation d'un avocat d'office est objectivement nécessaire dans le cas d'espèce (TF 1B_195/2011 du 28 juin 2011 c. 3. 2).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 3.2; ATF 128 I 225 c. 2.5.2; CREP 4 janvier 2013/26 confirmé par TF 1B_107/2013 du 21 mai 2013). En revanche, dans les "cas bagatelle" – soit, selon le Tribunal fédéral, ceux dans lesquels il ne risque qu'une peine de courte durée ou une amende –, le prévenu n'a pas, même s'il est indigent, de droit constitutionnel à la désignation d'un défenseur d'office gratuit (CREP 17 octobre 2013/605).</w:t>
      </w:r>
    </w:p>
    <w:p>
      <w:r>
        <w:rPr>
          <w:b/>
        </w:rPr>
        <w:t>E. 2.2</w:t>
      </w:r>
    </w:p>
    <w:p>
      <w:r>
        <w:t>Il y a lieu de débuter l'analyse par la seconde condition légale, à savoir si l'assistance d'un défenseur d'office apparaît justifiée pour sauvegarder les intérêts du recourant, la Procureure n’ayant pas examiné la condition de l’indigence dès lors qu'elle avait tenu la première condition cumulative pour non réalisée. En l’espèce, O.________ a été condamné par ordonnance pénale du 24 janvier 2014 – non entrée en force, car objet d'une opposition – à 20 jours-amende à 30 fr. le jour, les sursis accordés respectivement à la peine infligée le 14 décembre 2011 (15 jours-amende à 30 fr.) et à celle prononcée le 15 novembre 2012 (28 jours-amende à 30 fr.) étant révoqués. La peine encourue si l'opposition est rejetée étant inférieure à 120 jours-amende, l'affaire peut être qualifiée de peu de gravité (art. 132 al. 3 CPP a contrario). Au demeurant, il n’apparaît pas que l'affaire examinée présente, sur le plan des faits ou du droit, des difficultés que le prévenu ne pourrait pas surmonter seul. O.________ a été interpellé en possession d'armes factices pouvant être confondues avec de vraies armes (P. 5/1 p. 2) ce qui est prohibé et tombe sous le coup de la LArm. Ces faits sont clairs, de même que leur qualification juridique. Le prévenu ne saurait d'ailleurs prétendre que l'enjeu de la présente procédure lui échappe, puisqu'il a déjà été condamné pour une infraction du même genre à la fin de l'année 2011. On relève, en tout état de cause, que lors de son interpellation, comme au cours de la procédure d'opposition à l'ordonnance pénale du 24 janvier 2014 (P. 5 et P. 7), O.________ a montré son aptitude à se défendre seul. Il a su s'opposer à l'ordonnance pénale précitée dans le délai imparti, invoquer la violation de son droit d'être entendu (il aurait été condamné sans audition préalable), plaider l'absence d'élément subjectif (il n'aurait pas su que le port des pistolet et fusil factices litigieux était prohibé), et se prévaloir d'une éventuelle omission fautive d'un tiers (l'armurier ne lui aurait rien dit). Intervenu en cours de procédure, dès le 21 février 2014, Me Samuel Thétaz a d'ailleurs repris intégralement cet argumentaire,  qu'il a étayé à l'aide de pièces. Dans ces conditions, l'ordonnance attaquée constate à juste titre que l'assistance d'un mandataire ne paraît pas justifiée pour sauvegarder les intérêts du prévenu, et c'est en vain que ce dernier se prévaut de son jeune âge. Les conditions de l'art. 132 al. 2 CPP ne sont donc pas réunies. La condition de l'indigence n'a pas besoin d'être examinée, puisque les conditions de l'art. 132 al. 1 let. b CPP sont cumulatives et que la première examinée fait défaut (CREP 4 janvier 2013/26; CREP 17 octobre 2013/605, CREP 17 décembre 2013/756). En conséquence, l'ordonnance de refus de désignation d'un défenseur d'office du 28 février 2014 échappe à la critique.</w:t>
      </w:r>
    </w:p>
    <w:p>
      <w:r>
        <w:rPr>
          <w:b/>
        </w:rPr>
        <w:t>E. 3</w:t>
      </w:r>
    </w:p>
    <w:p>
      <w:r>
        <w:t>En définitive le recours, manifestement mal fondé, doit être rejeté, sans autre échange d’écritures (art. 390 al. 2 CPP) et l’ordonnance attaquée confirmée. La requête tendant à la désignation d'un défenseur d'office pour la procédure de recours doit également être rejetée, dès lors que le recours apparaissait d'emblée dénué de chances de succès (Harrari/Aliberti, op. cit., n. 41 ad art. 132 CPP; Ruckstuhl, op. cit., n. 10 ad art. 132 CPP; CREP du 23 mai 2012/255 c. 4; CREP 19 mars 2012/244 c. 3; CREP 4 janvier 2013/26). Les frais de la procédure de recours, constitués en l’espèce du seul émolument d'arrêt (art. 422 al. 1 CPP), par 880 fr. (art. 20 al. 1 TFJP [tarif des frais judiciaires pénaux; RSV 312.03.1]), seront mis à la charge du recourant, qui succombe (art. 428 al. 1 CPP). Par ces motifs, la Chambre des recours pénale, statuant à huis clos prononce : I. Le recours est rejeté. II. L’ordonnance du 28 février 2014 est confirmée. III. Les frais de la procédure de recours, par 880 fr. (huit cent huitante francs), sont mis à la charge de O.________ IV . La requête tendant à la désignation d'un défenseur d'office pour la procédure de recours est rejetée. V. L’arrêt est exécutoire. Le président :               La greffière : Du L'arrêt qui précède, dont la rédaction a été approuvée à huis clos, est notifié, par l'envoi d'une copie complète, à : - M. Samuel Thétaz, avocat (pour O.________),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