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89 vom 15. Oktober 2013</w:t>
      </w:r>
    </w:p>
    <w:p>
      <w:r>
        <w:t>VD Tribunal cantonal, 2013-10-15, FR</w:t>
      </w:r>
    </w:p>
    <w:p>
      <w:r>
        <w:rPr>
          <w:b/>
        </w:rPr>
        <w:t xml:space="preserve">Quelle: </w:t>
      </w:r>
      <w:r>
        <w:t>https://mcp.opencaselaw.ch/entscheid/vd_findinfo_Jug___2014___89</w:t>
      </w:r>
    </w:p>
    <w:p>
      <w:r>
        <w:t>FR: VD_FINDINFO Jug / 2014 / 89 du 15 octobre 2013</w:t>
      </w:r>
    </w:p>
    <w:p>
      <w:r>
        <w:t>IT: VD_FINDINFO Jug / 2014 / 89 del 15 ottobre 2013</w:t>
      </w:r>
    </w:p>
    <w:p>
      <w:pPr>
        <w:pStyle w:val="Heading2"/>
      </w:pPr>
      <w:r>
        <w:t>Regeste</w:t>
      </w:r>
    </w:p>
    <w:p>
      <w:r>
        <w:t>IN DUBIO PRO REO, CAS GRAVE, COMMERCE DE STUPÉFIANTS, LOI FÉDÉRALE SUR LES STUPÉFIANTS ET LES SUBSTANCES PSYCHOTROPES, CALCUL, FIXATION DE LA PEINE | 47 CP, 19 al. 1 LStup, 19 ch. 2 LStup, 10 al. 3 CPP (CH)</w:t>
      </w:r>
    </w:p>
    <w:p>
      <w:pPr>
        <w:pStyle w:val="Heading2"/>
      </w:pPr>
      <w:r>
        <w:t>Erwägungen</w:t>
      </w:r>
    </w:p>
    <w:p>
      <w:r>
        <w:rPr>
          <w:b/>
        </w:rPr>
        <w:t>E. 1</w:t>
      </w:r>
    </w:p>
    <w:p>
      <w:r>
        <w:t>Interjetés dans les formes et délai légaux (art. 399 CPP) contre le jugement d’un tribunal de première instance ayant clos la procédure (art. 398 al. 1 CPP), l’appel d’E.________ et l’appel joint du Ministère public sont recevables.</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E.________ conteste la quantité de drogue vendue. Il estime que le tribunal criminel, en retenant un bénéfice de 25 fr. par gramme vendu, n’aurait pas retenu la version qui lui était la plus favorable mais, au contraire, celle qui lui était la plus défavorable. Selon lui, c’est un bénéfice de 50 fr. par gramme vendu qui aurait dû être pris en considération. Par ailleurs, il soutient que les mises en cause fluctuantes de certains toxicomanes ne sauraient être prises en considération.</w:t>
      </w:r>
    </w:p>
    <w:p>
      <w:r>
        <w:rPr>
          <w:b/>
        </w:rPr>
        <w:t>E. 3.1.1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Ce dernier alinéa consacre le principe in dubio pro reo , selon lequel le doute doit toujours profiter au prévenu. Ainsi, si l’accusation ne parvient pas à apporter la preuve de la culpabilité du prévenu, et qu’il subsiste un doute irréductible, le juge doit libérer des fins de la poursuite. Le doute ne doit porter que sur les conditions factuelles afférentes à l’infraction (Moreillon/Parein-Reymond, Petit commentaire, Code de procédure pénale, Bâle 2013, nn. 14 et 16 ad art. 10 CPP).</w:t>
      </w:r>
    </w:p>
    <w:p>
      <w:r>
        <w:rPr>
          <w:b/>
        </w:rPr>
        <w:t>E. 3.1.2</w:t>
      </w:r>
    </w:p>
    <w:p>
      <w:r>
        <w:t>Il y a constatation incomplète des faits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w:t>
      </w:r>
    </w:p>
    <w:p>
      <w:r>
        <w:rPr>
          <w:b/>
        </w:rPr>
        <w:t>E. 3.2</w:t>
      </w:r>
    </w:p>
    <w:p>
      <w:r>
        <w:t>En l’espèce, il est tout d’abord relevé que tant les mises en cause que les périodes litigieuses importent peu, dans la mesure où, comme indiqué ci-après, il est tenu compte du capital réalisé par le prévenu pour calculer les quantités de drogue vendues. Les premiers juges ont en effet renoncé à estimer l’ampleur du trafic sur la base des mises en cause, ces dernières étant trop incomplètes (jgt., p. 14). Ils se sont alors basés sur le bénéfice moyen réalisé par gramme vendu et ont procédé à un calcul consistant à diviser le capital total perçu par ce bénéfice moyen. Afin de respecter le principe in dubio pro reo , ils ont toutefois retenu un bénéfice moyen le plus bas possible (jgt., p. 13). Si ce raisonnement est correct lorsqu’il s’agit de fixer l’ampleur du bénéfice réalisé, il conduit, dans un deuxième temps, à un résultat inverse à celui escompté : en effet, en divisant le capital par un chiffre le plus bas possible, ils ont obtenu un montant le plus haut possible. Il convient dès lors de reprendre le raisonnement du tribunal criminel ab ovo et d’établir le bénéfice moyen réalisé par gramme vendu. Pour les motifs qui précèdent, le montant de 25 fr. pris en compte par les premiers juges ne saurait être retenu. Pour sa part, l’appelant fait valoir un montant de 50 francs. Toutefois, lors de ses auditions, ce dernier a déclaré qu’il vendait sa marchandise entre 70 et 80 fr. la boulette (PV aud. 2, p. 2; PV aud. 8, p. 4; PV aud. 14, p. 2), ce qui correspond à un bénéfice plus proche de 25 fr. que de 50 francs. En outre, certains toxicomanes ont indiqué avoir acheté leur dose à 100 fr. (PV aud. 6, p. 2; PV aud. 10, p. 10; PV aud. 11, p. 2). Ainsi, le bénéfice était le plus souvent de 20 à 30 fr., mais était parfois de 50 francs. Dans ces conditions, il se justifie d’estimer la proportion entre les opérations très bénéficiaires et celles qui l’étaient moins et de tenir compte d’un bénéfice moyen médian de 37 fr. 50 (soit entre 25 et 50 francs). Ainsi, dans la mesure où l’activité délictueuse du prévenu a porté sur un capital de 53'587 fr., montant qui n’est pas contesté en appel, la quantité de drogue vendue s’élève à 1'428 gr. (soit 53'587 ÷ 37,50), étant précisé qu’il ne s’agit que d’une estimation et que cette estimation est inférieure à la réalité, au vu de l’ampleur de l’activité du prévenu et parce que les premiers juges, dans le calcul du gain total, n’ont pas tenu compte des dépenses d’entretien et des frais de transport (jgt., 17). En conclusion, l’appelant a vendu 1'428 gr. de cocaïne brute, ce qui représente une quantité nette de 455,5 gr., selon un taux de pureté de 31,9 %, ce à quoi il faut encore ajouter 452,1 gr. de cocaïne pure saisie à son domicile. Son trafic de stupéfiants a ainsi porté sur un total de 907,6 gr. de cocaïne pure.</w:t>
      </w:r>
    </w:p>
    <w:p>
      <w:r>
        <w:rPr>
          <w:b/>
        </w:rPr>
        <w:t>E. 4</w:t>
      </w:r>
    </w:p>
    <w:p>
      <w:r>
        <w:t>E.________ et le Ministère public contestent la quotité de la peine. Nonobstant une diminution de la quantité de drogue vendue (cf. c. 3.2 supra), soit d’un élément à charge devant, en principe, entraîner une réduction de la sanction, la Cour de céans peut librement fixer la peine, compte tenu de l’appel joint du Procureur qui considère trop clémente la privation de liberté prononcée par les premiers juges.</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ATF 134 IV 17 c. 2.1; ATF 129 IV 6 c. 6.1). En matière de trafic de stupéfiants, il y a lieu de tenir compte de la quantité de drogue; même si elle ne joue pas un rôle prépondérant, la quantité constitue un élément essentiel, qui perd cependant de l'importance au fur et à mesure que s'éloigne la limite à partir de laquelle le cas est grave au sens de l'art. 19 ch. 2 let. a LStup. Le type et la nature du trafic en cause sont déterminants. Aussi l'appréciation sera différente selon que l'auteur a agi de manière autonome ou comme membre d'une organisation. Dans ce dernier cas, la nature de sa participation et sa position au sein de l'organisation doivent être prises en compte. L'étendue géographique du trafic entre également en considération : l'importation en Suisse de drogue a des répercussions plus graves que le seul transport à l'intérieur des frontières. S'agissant d'apprécier les mobiles qui ont poussé l'auteur à agir, le juge doit distinguer le cas de celui qui est lui-même toxicomane et agit pour financer sa propre consommation de celui qui participe à un trafic uniquement poussé par l'appât du gain (TF 6B_85/2013 du 4 mars 2013 c. 3.1; TF 6B_265/2010 du 13 août 2010 c. 2.3; TF 6S.21/2002 du 17 avril 2002 c. 2c).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(TF 6B_85/2013 ibid.; ATF 121 IV 202 c. 2d/aa; ATF 118 IV 342 c. 2d).</w:t>
      </w:r>
    </w:p>
    <w:p>
      <w:r>
        <w:rPr>
          <w:b/>
        </w:rPr>
        <w:t>E. 4.2</w:t>
      </w:r>
    </w:p>
    <w:p>
      <w:r>
        <w:t>En l’espèce, le tribunal criminel a exposé tous les éléments déterminants pour la fixation de la peine (jgt., pp. 24 et 25), de sorte que la Cour de céans peut les reprendre à son compte. La culpabilité d’E.________ doit ainsi être qualifiée de lourde. Malgré la réduction opérée ci-dessus, la quantité de stupéfiants demeure importante et excède largement le seuil du cas grave. En particulier, l’importance de la drogue saisie chez le prévenu tend à démontrer que ce dernier n’était pas un simple trafiquant de rue intermédiaire mais, au contraire, un grossiste de taille moyenne, voire un importateur. Il est également relevé que le taux de pureté de la cocaïne saisie était élevé, les valeurs oscillant entre 34,4 et 85,3 %. Par ailleurs, l’activité du prévenu, qui a duré pendant près de cinq ans, n’a été interrompue que par son arrestation. Si ce dernier semble avoir agi seul, il existe néanmoins des doutes quand à l’intervention d’un tiers. Certes, le trafic auquel s’est livré l’appelant était local, toutefois ce dernier était particulièrement bien organisé, ses multiples voyages ayant, de surcroît, rendu sa localisation difficile. De plus, en vendant sa marchandise en petites quantités, le prévenu a multiplié les transactions. Il est également relevé que celui-ci a débuté ses activités délictueuses dès son arrivée en Suisse en 2004 et a été condamné à quatre reprises, entre 2004 et 2005, dont deux pour infraction à la Loi fédérale sur les stupéfiants, ce qui démontre un non-respect pour l’ordre juridique. Les peines fermes n’ont eu aucun effet sur lui dès lors qu’il a récidivé. De plus, l’appelant a agi exclusivement par appât du gain et n’a toujours pas pris conscience de la gravité de ses actes. Sa collaboration en cours de procédure n’a pas été bonne. Enfin, il convient de retenir le concours d’infractions. A décharge, il sera uniquement tenu compte de la situation personnelle difficile du prévenu. Au regard des éléments qui précèdent, une peine privative de liberté de 6 ans réprime adéquatement les agissements du prévenu.</w:t>
      </w:r>
    </w:p>
    <w:p>
      <w:r>
        <w:rPr>
          <w:b/>
        </w:rPr>
        <w:t>E. 5</w:t>
      </w:r>
    </w:p>
    <w:p>
      <w:r>
        <w:t>En définitive, l’appel d’E.________, nonobstant le fait que ce dernier soit en partie suivi dans ses calculs relatifs à la quantité de drogue vendue (cf. c. 3.2 supra), et l’appel joint du Ministère public doivent être rejetés, le jugement de première instance étant entièrement confirmé.</w:t>
      </w:r>
    </w:p>
    <w:p>
      <w:r>
        <w:rPr>
          <w:b/>
        </w:rPr>
        <w:t>E. 6</w:t>
      </w:r>
    </w:p>
    <w:p>
      <w:r>
        <w:t>Vu l’issue de la cause, les frais de la procédure d'appel, comprenant l’émolument du jugement, par 1’610 fr. (art. 21 al. 1 et 2 TFJP [Tarif des frais judiciaires pénaux du 28 septembre 2010; RSV 312.03.1]), ainsi que l’indemnité allouée au défenseur d'office, par 2’380 fr. 10, TVA et débours compris, sont mis par moitié à la charge de l’appelant (art. 428 al. 1 CPP). S’agissant de l’indemnité d’office, Me Thierry de Mestral a produit une liste d'opérations faisant état d’une activité totale de 18 heures et 35 minutes, hors temps d’audience (P. 75). Au regard de la nature et de la complexité de l'affaire, de la connaissance du dossier obtenue en première instance et de la déclaration d'appel brièvement motivée, le temps consacré à la présente procédure paraît trop élevé. Tout bien considéré, il sera tenu compte de deux heures pour les trois entretiens avec le client en prison – les déplacements étant quant à eux indemnisés avec les débours, à raison de 120 fr. le déplacement –, de trois heures pour la déclaration d’appel et les opérations y relatives, d’une heure pour les déterminations relatives à l’appel joint, de deux heures pour les recherches juridiques, l’étude du dossier, etc. et de deux heures pour l’audience d’appel. En définitive, c'est un montant de 2'380 fr. 10, correspondant à une activité de 10 heures, TVA et 403 fr. 80 de débours compris, qui doit être alloué à Me Thierry de Mestral à titre d'indemnité d'office pour la procédure d'appel. E.________ ne sera tenu de rembourser à l’Etat la moitié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