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82 vom 24. März 2014</w:t>
      </w:r>
    </w:p>
    <w:p>
      <w:r>
        <w:t>VD Tribunal cantonal, 2014-03-24, FR</w:t>
      </w:r>
    </w:p>
    <w:p>
      <w:r>
        <w:rPr>
          <w:b/>
        </w:rPr>
        <w:t xml:space="preserve">Quelle: </w:t>
      </w:r>
      <w:r>
        <w:t>https://mcp.opencaselaw.ch/entscheid/vd_findinfo_Jug___2014___82</w:t>
      </w:r>
    </w:p>
    <w:p>
      <w:r>
        <w:t>FR: VD_FINDINFO Jug / 2014 / 82 du 24 mars 2014</w:t>
      </w:r>
    </w:p>
    <w:p>
      <w:r>
        <w:t>IT: VD_FINDINFO Jug / 2014 / 82 del 24 marzo 2014</w:t>
      </w:r>
    </w:p>
    <w:p>
      <w:pPr>
        <w:pStyle w:val="Heading2"/>
      </w:pPr>
      <w:r>
        <w:t>Regeste</w:t>
      </w:r>
    </w:p>
    <w:p>
      <w:r>
        <w:t>DÉCISION D'IRRECEVABILITÉ, SÛRETÉS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CREP 18 mars 2014/200 c. 1).</w:t>
      </w:r>
    </w:p>
    <w:p>
      <w:r>
        <w:rPr>
          <w:b/>
        </w:rPr>
        <w:t>E. 2</w:t>
      </w:r>
    </w:p>
    <w:p>
      <w:r>
        <w:t>Le 14 février 2014, le plaignant, C.________, a déposé un recours contre l’ordonnance de non-entrée en matière rendue le 29 janvier 2014 par le Ministère public de l'arrondissement de l'Est vaudois. Par courrier du 20 février 2014, la Cour de céans a imparti au prénommé un délai au 12 mars 2014 pour effectuer un dépôt de 440 fr. à titre de sûretés, avec l'indication qu'à défaut de paiement des sûretés en temps utile, il ne serait pas entré en matière sur son recours. C.________ n'ayant pas fourni les sûretés requises dans le délai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C.________, - Ministère public central, et communiqué à : ‑ M. le Procureur de l'arrondissement de l'Est vaudois,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