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 vom 22. November 2012</w:t>
      </w:r>
    </w:p>
    <w:p>
      <w:r>
        <w:t>VD Tribunal cantonal, 2012-11-22, FR</w:t>
      </w:r>
    </w:p>
    <w:p>
      <w:r>
        <w:rPr>
          <w:b/>
        </w:rPr>
        <w:t xml:space="preserve">Quelle: </w:t>
      </w:r>
      <w:r>
        <w:t>https://mcp.opencaselaw.ch/entscheid/vd_findinfo_Jug___2014___8</w:t>
      </w:r>
    </w:p>
    <w:p>
      <w:r>
        <w:t>FR: VD_FINDINFO Jug / 2014 / 8 du 22 novembre 2012</w:t>
      </w:r>
    </w:p>
    <w:p>
      <w:r>
        <w:t>IT: VD_FINDINFO Jug / 2014 / 8 del 22 novembre 2012</w:t>
      </w:r>
    </w:p>
    <w:p>
      <w:pPr>
        <w:pStyle w:val="Heading2"/>
      </w:pPr>
      <w:r>
        <w:t>Regeste</w:t>
      </w:r>
    </w:p>
    <w:p>
      <w:r>
        <w:t>ÉTAT DE NÉCESSITÉ, FIXATION DE LA PEINE | 18 CP, 47 CP, 48a CP</w:t>
      </w:r>
    </w:p>
    <w:p>
      <w:pPr>
        <w:pStyle w:val="Heading2"/>
      </w:pPr>
      <w:r>
        <w:t>Erwägungen</w:t>
      </w:r>
    </w:p>
    <w:p>
      <w:r>
        <w:rPr>
          <w:b/>
        </w:rPr>
        <w:t>E. 1</w:t>
      </w:r>
    </w:p>
    <w:p>
      <w:r>
        <w:t>. L'autorité à laquelle la cause est renvoyée doit fonder sa décision sur les considérants en droit de l'arrêt du Tribunal fédéral (Corboz, in Corboz/Wurzburger/Ferrari/Frésard/Aubry Girardin, Commentaire de la LTF, Berne 2009, nn. 26 et 27 ad art. 107 LTF, p. 1078). Elle voit donc sa cognition limitée par les motifs de l’arrêt de renvoi, en ce sens qu’elle est liée par ce qui a déjà été jugé définitivement par le Tribunal fédéral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l’arrêt (ATF 133 III 201 c. 4.2 ; ATF 131 III 91 c. 5.2 et les arrêts cités). En l’espèce, le Tribunal fédéral a retenu que l’appelant avait été illicitement retenu dans le taxi en vue d’être amené à la police. Il a renvoyé la cause à l’autorité cantonale pour qu’elle examine dans quelle mesure l’appelant était en droit de sortir du taxi pour préserver sa liberté au sens de l’art. 17 CP, ou si son comportement constituait un excès d’état de nécessité au sens de l’art. 18 CP (TF 6B_500/2013 du 9 septembre 2013 c. 3.3.2).</w:t>
      </w:r>
    </w:p>
    <w:p>
      <w:r>
        <w:rPr>
          <w:b/>
        </w:rPr>
        <w:t>E. 2</w:t>
      </w:r>
    </w:p>
    <w:p>
      <w:r>
        <w:t>L’autorité de céans peut traiter l’appel en procédure écrite en application de l’art. 406 al. 1 let. a et d CPP.</w:t>
      </w:r>
    </w:p>
    <w:p>
      <w:r>
        <w:rPr>
          <w:b/>
        </w:rPr>
        <w:t>E. 3</w:t>
      </w:r>
    </w:p>
    <w:p>
      <w:r>
        <w:t>Conformément aux considérants de l’arrêt du Tribunal fédéral, l’appelant, qui a ouvert la portière du véhicule alors que ce dernier accélérait, doit être reconnu coupable de violation des règles de la circulation routière au sens de l’art. 31 al. 3 LCR en relation avec l’art. 90 LCR (Loi fédérale sur la circulation routière du 19 décembre 1958, RS 741.01). Ce comportement constitue une violation grave des règles de la circulation routière au sens de l’art. 90 al. 2 LCR (TF 6B_500/2013 c. 1.2 et 2.2). Il reste à examiner l’application des articles 17 et 18 CP.</w:t>
      </w:r>
    </w:p>
    <w:p>
      <w:r>
        <w:rPr>
          <w:b/>
        </w:rPr>
        <w:t>E. 3.1.1</w:t>
      </w:r>
    </w:p>
    <w:p>
      <w:r>
        <w:t>Aux termes de l’art. 31 al. 3 LCR, le conducteur doit veiller à n’être gêné ni par le chargement ni d’une autre manière. Les passagers sont tenus de ne pas le gêner ni le déranger. L’art. 60 al. 5 OCR (Ordonnance sur les règles de la circulation routière du 13 novembre 1962, RS 741.11), dispose que lorsqu’un véhicule automobile, un tramway ou un chemin de fer routier est en marche, il est interdit d’y monter, d’en descendre ou de se pencher au-dehors. Selon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3.1.2</w:t>
      </w:r>
    </w:p>
    <w:p>
      <w:r>
        <w:t>L’art. 17 CP dispose que quiconque commet un acte punissable pour préserver d’un danger imminent et impossible à détourner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En cas d'état de nécessité excusable au sens de l’art.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Schweizerisches Strafgesetzbuch, Praxiskommentar, 2 e éd. 2013, n. 2 ad art. 18 CP). Il convient de faire une pesée des intérêts en prenant en considération non seulement le rang des biens juridiques en conflit, mais aussi la gravité de l'atteinte, l'importance du danger, ainsi que toutes les circonstances du cas concret (Dupuis et al., Petit commentaire du Code pénal, 2 e éd. 2012, n. 16 ad art. 17 CP).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 2b).</w:t>
      </w:r>
    </w:p>
    <w:p>
      <w:r>
        <w:rPr>
          <w:b/>
        </w:rPr>
        <w:t>E. 3.2</w:t>
      </w:r>
    </w:p>
    <w:p>
      <w:r>
        <w:t>En l’espèce, l’appelant a été illicitement retenu dans le taxi, le chauffeur de ce véhicule n’étant pas en droit de faire demi-tour pour emmener l’intéressé à la police. Ainsi l’appelant a voulu préserver sa liberté en quittant le véhicule de U.________, lequel entendait le conduire au poste de police. Toutefois, le danger auquel l’appelant était exposé n’était pas conséquent. La version de ce dernier selon laquelle il aurait paniqué en voyant U.________ opérer un tourner sur route n’est pas crédible. Il savait pertinemment quelle était l’intention du chauffeur de taxi puisqu’il a déclaré que ce dernier lui avait indiqué vouloir l’emmener auprès de la police afin de régler le litige relatif au paiement de la course (audition du 20 octobre 2011, lignes 43-44). D’autre part, l'appelant ne pouvait penser que U.________, âgé de 68 ans au moment des faits, ait réellement pu représenter une menace pour lui. En ouvrant la portière du taxi pendant que le chauffeur accélérait et en la maintenant ouverte alors que le véhicule roulait à environ 60 km/h, il a mis en danger sa propre sécurité, mais aussi gêné le conducteur et créé un danger pour la sécurité publique, dont témoignent la violence de l’accident et l’état du véhicule. L’appelant a privilégié la sauvegarde de sa liberté au préjudice de la sécurité publique et de la sienne. Au regard de la pesée des intérêts en jeu, le sacrifice provisoire de sa liberté pouvait aisément être exigé de l’appelant. Son comportement constitue dès lors un excès de l’état de nécessité. L’appelant est donc coupable de l’infraction de violation grave des règles de la circulation routière au sens de l’art. 90 al. 2 LCR. Il voit toutefois sa faute réduite en application de l’art. 18 al. 1 CP, de sorte que sa peine doit être atténuée en application de l’art. 48a CP.</w:t>
      </w:r>
    </w:p>
    <w:p>
      <w:r>
        <w:rPr>
          <w:b/>
        </w:rPr>
        <w:t>E. 4</w:t>
      </w:r>
    </w:p>
    <w:p>
      <w:r>
        <w:t>Il convient de fixer la quotité de la peine qui doit sanctionner l’appelant pour son comportement.</w:t>
      </w:r>
    </w:p>
    <w:p>
      <w:r>
        <w:rPr>
          <w:b/>
        </w:rPr>
        <w:t>E. 4.1.1</w:t>
      </w:r>
    </w:p>
    <w:p>
      <w:r>
        <w:t>La jurisprudence en matière de fixation de la peine a été exposée dans le jugement du 27 février 2013 auquel on peut se référer (CAPE 17/ 2013 c. 5). Aux termes de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4.1.2</w:t>
      </w:r>
    </w:p>
    <w:p>
      <w:r>
        <w:t>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w:t>
      </w:r>
    </w:p>
    <w:p>
      <w:r>
        <w:rPr>
          <w:b/>
        </w:rPr>
        <w:t>E. 4.2</w:t>
      </w:r>
    </w:p>
    <w:p>
      <w:r>
        <w:t>En l’espèce, la culpabilité de R.________ n’est pas négligeable. A charge, on retiendra qu’en ouvrant la portière du taxi, et en la maintenant ouverte alors que le véhicule roulait à bonne allure, il a mis en danger sa propre sécurité, mais aussi gêné le conducteur. Il a créé un danger non seulement pour la voiture concernée, mais également pour les autres usagers de la route suivant le véhicule en question. L’appelant a agi alors qu’il ne pouvait qu’être conscient que son comportement était dangereux, démontrant un manque d'égards pour autrui. A décharge, il sera tenu compte du fait que l’appelant a voulu préserver sa liberté et de l’application de l’art. 48a CP en relation avec l’infraction de violation grave des règles de la circulation routière. Enfin, l'appelant a déjà été condamné à deux reprises pour des violations graves des règles de la circulation routière, respectivement en mars 2006 et en mai 2010. Entre novembre 2005 et juillet 2010, il a en outre fait l'objet de trois retraits du permis de conduire, pour des périodes allant de un à douze mois. Il n'a aucunement pris conscience de la gravité de ses actes. Partant, seul un pronostic défavorable peut être posé et le sursis ne saurait être accordé. Compte tenu de l’ensemble de ces éléments, une peine pécuniaire de 15 jours-amende à 80 fr. par jour, ainsi qu’une amende de 250 fr. doivent être prononcées à l’encontre de R.________.</w:t>
      </w:r>
    </w:p>
    <w:p>
      <w:r>
        <w:rPr>
          <w:b/>
        </w:rPr>
        <w:t>E. 5</w:t>
      </w:r>
    </w:p>
    <w:p>
      <w:r>
        <w:t>L’appelant conteste la révocation du sursis accordé le 10 mai 2010 par le Tribunal de police de l'arrondissement de l'Est vaudois.</w:t>
      </w:r>
    </w:p>
    <w:p>
      <w:r>
        <w:rPr>
          <w:b/>
        </w:rPr>
        <w:t>E. 5.1</w:t>
      </w:r>
    </w:p>
    <w:p>
      <w:r>
        <w:t>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rPr>
          <w:b/>
        </w:rPr>
        <w:t>E. 5.2</w:t>
      </w:r>
    </w:p>
    <w:p>
      <w:r>
        <w:t>En l’occurrence, l’appelant a été condamné le 10 mai 2010 pour violation grave des règles de la circulation routière à une peine de 15 jours-amende à 40 fr. avec sursis pendant 2 ans ainsi qu’à une amende de 320 fr. pour violation grave des règles de la circulation routière. Les faits de la présente cause constituent ainsi une récidive au sens strict. Le prévenu a en outre fait l’objet de trois retraits du permis de conduire, le premier du 8 février 2006, pour un durée de cinq mois, soit du 27 novembre 2005 au 26 avril 2006, pour ébriété et vitesse, le deuxième du 26 novembre 2008, pour une durée d’un mois, soit du 24 novembre 2008 au 23 décembre 2008, pour vitesse, et le troisième pour une durée de douze mois, soit du 24 juillet 2010 au 23 juillet 2011, pour vitesse. Ces antécédents dénotent chez l’appelant une insensibilité à la sanction. L’intéressé n’a eu de cesse de banaliser et de nier les faits reprochés. Cette attitude, empreinte de mauvaise foi, démontre une absence totale de prise de conscience. Force est dès lors de constater que le pronostic est clairement défavorable et que l'effet dissuasif de la nouvelle peine pécuniaire n'est pas suffisant pour renoncer à révoquer le sursis octroyé à l'appelant en 2010. Au vu des éléments qui précèdent le sursis accordé le 10 mai 2010 doit être révoqué et l’exécution de la peine de 15 jours-amende à 40 fr. ordonnée.</w:t>
      </w:r>
    </w:p>
    <w:p>
      <w:r>
        <w:rPr>
          <w:b/>
        </w:rPr>
        <w:t>E. 6</w:t>
      </w:r>
    </w:p>
    <w:p>
      <w:r>
        <w:t>En définitive, l’appel de R.________ doit être partiellement admis en ce sens que la peine prononcée est réduite de 20 à 15 jours-amende, le montant du jour-amende étant maintenu à 80 francs. Le jugement de première instance est confirmé pour le surplus. L'appelant obtient gain de cause sur un élément d’atténuation de la peine, sa culpabilité étant confirmée. Les frais de la procédure d’appel avant le recours au Tribunal fédéral, par 2'240 fr., doivent être mis à la charge de l’appelant à hauteur de deux tiers, soit par 1'493 fr. 35, le solde étant laissé à la charge de l’Etat. Les frais de la procédure d’appel qui s’est tenue après l’arrêt du Tribunal fédéral, constitués uniquement d’un émolument d’arrêt de 1’210 fr. (art. 21 al. 1 et 2 TFJP [tarif des frais judiciaires pénaux;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