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79 vom 7. Oktober 2013</w:t>
      </w:r>
    </w:p>
    <w:p>
      <w:r>
        <w:t>VD Tribunal cantonal, 2013-10-07, FR</w:t>
      </w:r>
    </w:p>
    <w:p>
      <w:r>
        <w:rPr>
          <w:b/>
        </w:rPr>
        <w:t xml:space="preserve">Quelle: </w:t>
      </w:r>
      <w:r>
        <w:t>https://mcp.opencaselaw.ch/entscheid/vd_findinfo_Jug___2014___79</w:t>
      </w:r>
    </w:p>
    <w:p>
      <w:r>
        <w:t>FR: VD_FINDINFO Jug / 2014 / 79 du 7 octobre 2013</w:t>
      </w:r>
    </w:p>
    <w:p>
      <w:r>
        <w:t>IT: VD_FINDINFO Jug / 2014 / 79 del 7 ottobre 2013</w:t>
      </w:r>
    </w:p>
    <w:p>
      <w:pPr>
        <w:pStyle w:val="Heading2"/>
      </w:pPr>
      <w:r>
        <w:t>Regeste</w:t>
      </w:r>
    </w:p>
    <w:p>
      <w:r>
        <w:t>CONSTATATION DES FAITS, PRÉSOMPTION D'INNOCENCE | 10 al. 2 CPP (CH), 10 al. 3 CPP (CH)</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 Le lésé constitué partie plaignante peut contester, par la voie de l’appel, l’acquittement prononcé en première instance, indépendamment de la question des conclusions civiles. En effet, l'art. 119 al. 2 CPP ouvre au lésé la possibilité d'agir cumulativement ou alternativement comme demandeur au pénal ou au civil. Le lésé devient ainsi partie plaignante (cf. l’art. 118 al. 1 CPP). Le législateur a donc conféré à la partie plaignante le pouvoir de se constituer partie à la seule fin de soutenir l'action pénale (ATF 139 IV 78, spéc. c. 3.3.3).</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Critiquant l’appréciation des preuves à laquelle a procédé le premier juge, l’appelant soutient que l’intimé est l’auteur d’un vol commis à son détriment et que, malgré les dénégations de ce dernier, le premier juge aurait dû tenir les faits pour établis, en raison des explications constantes qu’il a données. En définitive, le prévenu aurait menti et devrait être condamné pour vol et tenu de le dédommager du préjudice subi.</w:t>
      </w:r>
    </w:p>
    <w:p>
      <w:r>
        <w:rPr>
          <w:b/>
        </w:rPr>
        <w:t>E. 3.2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4</w:t>
      </w:r>
    </w:p>
    <w:p>
      <w:r>
        <w:t>C’est «au bénéfice du doute à tout le moins» (jugement, c. 4 p. 8) que le tribunal de police a préféré les dénégations du prévenu. Cette appréciation des faits ne prête pas le flanc à la critique et peut donc être confirmée par la Cour de céans. En effet, les versions des faits antagonistes du plaignant et du prévenu s’opposent sans qu’un élément décisif du point de vue probatoire ne permette d’en privilégier une, à défaut en particulier de tout témoin en mesure de rapporter les faits et de tout indice matériel déterminant. Certes, l’on peut donner acte à l’appelant que la version de l’intimé a quelque peu évolué au fil des auditions quant au motif de sa demande d’argent, tout d’abord pour un prêt de 100 fr., puis pour un cadeau en faveur de son fils. Néanmoins, celle que présente l’appelant n’est pas entièrement crédible pour autant. En effet, on peine à comprendre comment le prévenu aurait, en un seul geste, pu s’emparer d’une somme de 1'000 fr. alors qu’un unique billet dépassait de la poche avant droite du pantalon, de surcroît par un auteur avec un enfant dans ses bras. Qui plus est, on ne saisit pas pourquoi le plaignant, qui dit entretenir de mauvaises relations avec le prévenu, aurait montré son argent au prévenu. Il apparaît également insolite qu’une liasse de billets d’un montant aussi important soit conservée sans avoir été rangée dans un portefeuille, s’agissant à tout le moins des coupures les plus importantes. Les seuls faits matériellement établis, à savoir un retrait en espèces de 1'000 fr. et un versement de 1'200 fr. des services sociaux à l’appelant le jour des faits allégués, ne constituent pas des preuves suffisantes pour imputer un vol au prévenu. En définitive, les circonstances entourant la rencontre du 26 juillet 2012 ne sont pas suffisamment élucidées pour permettre une condamnation du prévenu. En d’autres termes, le premier juge a correctement appliqué le principe de la présomption d’innocence découlant de l’art. 10 al. 3 CPP. L’appel doit donc être rejeté.</w:t>
      </w:r>
    </w:p>
    <w:p>
      <w:r>
        <w:rPr>
          <w:b/>
        </w:rPr>
        <w:t>E. 5</w:t>
      </w:r>
    </w:p>
    <w:p>
      <w:r>
        <w:t>En équité, les frais seront laissés à la charge de l’Etat au vu des circonstances, bien que l’appelant succombe au sens de l’art.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