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76 vom 26. September 2013</w:t>
      </w:r>
    </w:p>
    <w:p>
      <w:r>
        <w:t>VD Tribunal cantonal, 2013-09-26, FR</w:t>
      </w:r>
    </w:p>
    <w:p>
      <w:r>
        <w:rPr>
          <w:b/>
        </w:rPr>
        <w:t xml:space="preserve">Quelle: </w:t>
      </w:r>
      <w:r>
        <w:t>https://mcp.opencaselaw.ch/entscheid/vd_findinfo_Jug___2014___76</w:t>
      </w:r>
    </w:p>
    <w:p>
      <w:r>
        <w:t>FR: VD_FINDINFO Jug / 2014 / 76 du 26 septembre 2013</w:t>
      </w:r>
    </w:p>
    <w:p>
      <w:r>
        <w:t>IT: VD_FINDINFO Jug / 2014 / 76 del 26 settembre 2013</w:t>
      </w:r>
    </w:p>
    <w:p>
      <w:pPr>
        <w:pStyle w:val="Heading2"/>
      </w:pPr>
      <w:r>
        <w:t>Regeste</w:t>
      </w:r>
    </w:p>
    <w:p>
      <w:r>
        <w:t>FIXATION DE LA PEINE, PEINE PÉCUNIAIRE, AMENDE, FIXATION DE L'AMENDE, PEINE PRIVATIVE DE LIBERTÉ, CHOIX{EN GÉNÉRAL}, CIRCULATION ROUTIÈRE{DROIT DE LA CIRCULATION ROUTIÈRE}, SURSIS À L'EXÉCUTION DE LA PEINE, PRONOSTIC | 106 al. 3 CP, 34 al. 2 CP, 34 CP, 42 al. 1 CP, 42 CP, 47 CP</w:t>
      </w:r>
    </w:p>
    <w:p>
      <w:pPr>
        <w:pStyle w:val="Heading2"/>
      </w:pPr>
      <w:r>
        <w:t>Erwägungen</w:t>
      </w:r>
    </w:p>
    <w:p>
      <w:r>
        <w:rPr>
          <w:b/>
        </w:rPr>
        <w:t>E. 1</w:t>
      </w:r>
    </w:p>
    <w:p>
      <w:r>
        <w:t>Interjeté dans les formes et délai légaux contre un jugement de première instance ayant clos la procédure (art. 398 al. 1 CPP), l'appel de A.A.________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considère que la peine privative de liberté prononcée par le premier juge est trop sévère au vu des infractions retenues, qu’il ne conteste pas en appel. Par ailleurs, il estime que le jugement entrepris viole le principe selon lequel la priorité doit être donnée, pour des délits mineurs ou de gravité moyenne, à des peines pécuniaires en lieu et place de peines privatives de liberté.</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3.1.2</w:t>
      </w:r>
    </w:p>
    <w:p>
      <w:r>
        <w:t>La peine pécuniaire constitue la sanction principale dans le domaine de la petite et moyenne criminalité, les peines privatives de liberté ne devant être prononcées que lorsque l’Etat ne peut garantir d’une autre manière la sécurité publique (ATF 134 IV 97 c. 4.2.1 et 4.2.2). Lorsque tant une peine pécuniaire qu’une peine privative de liberté entrent en considération et que toutes les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 4.2.2; ATF 134 IV 82 c. 4.1). Le choix de la sanction doit être opéré en tenant compte au premier chef de l’adéquation de la peine, de ses effets sur l’auteur et sur sa situation sociale ainsi que de son efficacité du point de vue de la prévention (ATF 134 IV 97 c. 4.2; ATF 134 IV 82 c. 4.1).</w:t>
      </w:r>
    </w:p>
    <w:p>
      <w:r>
        <w:rPr>
          <w:b/>
        </w:rPr>
        <w:t>E. 3.2</w:t>
      </w:r>
    </w:p>
    <w:p>
      <w:r>
        <w:t>En l’occurrence, le premier juge a considéré que la culpabilité de A.A.________ était lourde. Il a retenu que l’appelant avait déjà été condamné précédemment pour des infractions aux règles de la circulation routière et que son casier judiciaire comportait trois condamnations, sans compter les sanctions prononcées par le Tribunal des mineurs. Par ailleurs, le prévenu avait de manière répétée refusé de donner suite aux injonctions de la police et avait pris la fuite, démontrant qu’il n’avait aucun respect des normes légales. Enfin, le premier juge a relevé que celui-ci avait déjà été condamné par le passé à des peines pécuniaires, des prestations au travail et des amendes, mais que ces sanctions n’avaient eu aucun effet sur lui. Sur la base de ces éléments, le tribunal de police a estimé qu’une peine privative de liberté, dont la quotité excédait le cadre de l’art. 41 CP, s’imposait pour sanctionner les infractions les plus graves. En procédant à sa propre appréciation, la Cour de céans reprend à son compte l’argumentation développée par le premier juge. Au surplus, elle relève que les infractions reprochées à l’appelant, qui sont en concours, sont graves, notamment en matière de circulation routière. Certes, il convient de tenir compte du contexte dans lequel les faits ont eu lieu, à savoir une dispute familiale la veille au soir, la grande émotion de la part de tous les membres de la famille, la disparition provisoire de la sœur, l’inquiétude et la culpabilité du prévenu, sa nervosité lors de ses recherches au CHUV, etc. Néanmoins, l’appelant, alors qu’il ne se trouvait plus sous le coup de l’émotion, a délibérément repris le volant pour quitter l’hôpital, n’a pas hésité à prendre la fuite et à franchir une double ligne au niveau d’un carrefour très fréquenté en plein après-midi, mettant ainsi en danger la sécurité de nombreux piétons. Au vu de l’ensemble de ces circonstances, une peine pécuniaire pour sanctionner les infractions les plus graves ne satisferait pas à l'exigence de prévention spéciale; c’est donc à juste titre que le premier juge a prononcé une peine privative de liberté. Quant à sa quotité, outre les éléments qui précèdent, il convient de tenir compte, à décharge, du fait que le prévenu semble avoir pris conscience de la gravité de ses agissements et que, comme relevé ci-dessous (cf. c. 5.2 infra), sa situation personnelle s’est stabilisée. Ces éléments ne sont toutefois pas de nature à contrebalancer le poids de sa culpabilité. En définitive, la privation de liberté de 6 mois fixée par le premier juge est justifiée et doit être confirmée.</w:t>
      </w:r>
    </w:p>
    <w:p>
      <w:r>
        <w:rPr>
          <w:b/>
        </w:rPr>
        <w:t>E. 4</w:t>
      </w:r>
    </w:p>
    <w:p>
      <w:r>
        <w:t>L’appelant estime que les montants du jour-amende et de l’amende retenus par le premier juge sont trop élevés au regard de sa situation financière.</w:t>
      </w:r>
    </w:p>
    <w:p>
      <w:r>
        <w:rPr>
          <w:b/>
        </w:rPr>
        <w:t>E. 4.1</w:t>
      </w:r>
    </w:p>
    <w:p>
      <w:r>
        <w:t>S’agissant de la peine pécuniaire, le juge fixe le montant du jour-amende selon la situation personnelle et économique de l'auteur au moment du jugement, notamment en tenant compte de son revenu et de sa fortune, de son mode de vie, de ses obligations d'assistance, en particulier familiales, et du minimum vital (cf. art. 34 al. 2 2 ème phrase CP). Les principes déduits de cette disposition ont été exposés dans l’ATF 134 IV 60 c. 6, auquel on peut se référer. Quant à la peine d'amende, l'art. 106 al. 3 CP prescrit au juge de fixer celle-ci en tenant compte de la situation de l'auteur, afin que la peine corresponde à la faute commise.</w:t>
      </w:r>
    </w:p>
    <w:p>
      <w:r>
        <w:rPr>
          <w:b/>
        </w:rPr>
        <w:t>E. 4.2</w:t>
      </w:r>
    </w:p>
    <w:p>
      <w:r>
        <w:t>En l’occurrence, l’appelant vit toujours chez ses parents et n’a personne à sa charge. Compte tenu d’un salaire mensuel brut de 2'100 fr., de charges financières à hauteur de 380 fr. pour l’assurance-maladie et du minimum vital, le montant du jour-amende arrêté par le premier juge est adéquat. Il en va de même du montant de l’amende qui est justifié au regard de la situation financière du prévenu et de la faute commise.</w:t>
      </w:r>
    </w:p>
    <w:p>
      <w:r>
        <w:rPr>
          <w:b/>
        </w:rPr>
        <w:t>E. 5</w:t>
      </w:r>
    </w:p>
    <w:p>
      <w:r>
        <w:t>Invoquant une violation de l’art. 42 CP, l’appelant soutient que le pronostic le concernant n’est pas défavorable.</w:t>
      </w:r>
    </w:p>
    <w:p>
      <w:r>
        <w:rPr>
          <w:b/>
        </w:rPr>
        <w:t>E. 5.1</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 4.2.1).</w:t>
      </w:r>
    </w:p>
    <w:p>
      <w:r>
        <w:rPr>
          <w:b/>
        </w:rPr>
        <w:t>E. 5.2</w:t>
      </w:r>
    </w:p>
    <w:p>
      <w:r>
        <w:t>En l’occurrence, le premier juge a retenu que le pronostic ne pouvait pas être favorable, au vu notamment de la situation personnelle du prévenu qui ne serait pas stabilisée. Il a ainsi infligé une peine ferme, renonçant de ce fait à révoquer le sursis précédent, au motif que le complexe de faits était au demeurant différent dans le cas de 2011. Cette appréciation ne saurait être suivie. En effet, contrairement à ce qu’estime le tribunal de police, la situation personnelle du prévenu s’est stabilisée : ce dernier travaille toujours au sein de l’épicerie de son frère et bénéficie d’un encadrement familial, il est à la recherche d’un emploi à plein temps et envisage de se marier courant 2014. Il a également entrepris les démarches nécessaires pour récupérer son permis de conduire. Les relations avec sa sœur se sont améliorées. Par ailleurs, il s’acquitte de manière régulière de ses factures, notamment des frais résultant de sa précédente condamnation. Enfin, la détention provisoire qu’il a subie a eu un réel impact sur le prévenu qui a pris conscience de sa responsabilité. Sur la base de ces éléments, la Cour de céans considère que le pronostic quant au comportement futur de l’appelant n’est pas défavorable. Il se justifie dès lors de suspendre l’exécution des peines prononcées et de fixer le délai d’épreuve au maximum légal, soit à cinq ans.</w:t>
      </w:r>
    </w:p>
    <w:p>
      <w:r>
        <w:rPr>
          <w:b/>
        </w:rPr>
        <w:t>E. 6</w:t>
      </w:r>
    </w:p>
    <w:p>
      <w:r>
        <w:t>En définitive, l’appel de A.A.________ est partiellement admis et le jugement entrepris réformé, en ce sens que l’exécution de la peine privative de liberté de 6 mois et de la peine pécuniaire de 5 jours-amende à 30 fr. est suspendue, le délai d’épreuve étant fixé à cinq ans . Pour le surplus, le jugement de première instance est confirmé.</w:t>
      </w:r>
    </w:p>
    <w:p>
      <w:r>
        <w:rPr>
          <w:b/>
        </w:rPr>
        <w:t>E. 7</w:t>
      </w:r>
    </w:p>
    <w:p>
      <w:r>
        <w:t>Vu l’issue de la cause, les frais d’appel, constitués de l’émolument d’arrêt, par 1’910 fr., et de l’indemnité allouée au défenseur d’office de A.A.________, par 1'879 fr. 20, TVA et débours compris, sont mis par un tiers à la charge de l’appelant, le solde étant laissé à la charge de l’Etat. S’agissant de l’indemnité d’office, Me Hüsnu Yilmaz a produit une liste d'opérations faisant état d’un total de 9 heures et 30 minutes, hors temps d’audience (P. 53). Compte tenu de la nature de la cause et de la connaissance du dossier acquise en première instance, le temps consacré à la présente procédure, notamment aux conférences avec le client ainsi qu’aux recherches juridiques et à l’examen du dossier, est trop élevé. Tout bien considéré, il sera tenu compte d’une heure, respectivement de 40 minutes pour ces deux types d’opérations. En définitive, c'est un montant de 1'879 fr. 20, correspondant à une activité de 9 heures, TVA et 120 fr. de débours compris, qui doit être alloué à Me Hüsnu Yilmaz à titre d'indemnité d'office pour la procédure d'appel. L’appelant ne sera tenu de rembourser un tiers du montant de cette indemnité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