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71 vom 13. November 2013</w:t>
      </w:r>
    </w:p>
    <w:p>
      <w:r>
        <w:t>VD Tribunal cantonal, 2013-11-13, FR</w:t>
      </w:r>
    </w:p>
    <w:p>
      <w:r>
        <w:rPr>
          <w:b/>
        </w:rPr>
        <w:t xml:space="preserve">Quelle: </w:t>
      </w:r>
      <w:r>
        <w:t>https://mcp.opencaselaw.ch/entscheid/vd_findinfo_Jug___2014___71</w:t>
      </w:r>
    </w:p>
    <w:p>
      <w:r>
        <w:t>FR: VD_FINDINFO Jug / 2014 / 71 du 13 novembre 2013</w:t>
      </w:r>
    </w:p>
    <w:p>
      <w:r>
        <w:t>IT: VD_FINDINFO Jug / 2014 / 71 del 13 novembre 2013</w:t>
      </w:r>
    </w:p>
    <w:p>
      <w:pPr>
        <w:pStyle w:val="Heading2"/>
      </w:pPr>
      <w:r>
        <w:t>Regeste</w:t>
      </w:r>
    </w:p>
    <w:p>
      <w:r>
        <w:t>INDEMNITÉ{EN GÉNÉRAL}, REJET DE LA DEMANDE, FAUTE, OUVERTURE DE LA PROCÉDURE | 429 al. 1 let. a CPP (CH), 430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suffisamment motivé, l'appel est recevable (art. 399 al. 3 CPP). Celui-ci étant limité à la question de l’indemnité de l’art. 429 CPP, la procédure écrite est applicable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ème éd., Lausanne 1996, n. 2.4 ad art. 91 LCR; Jeanneret, Les dispositions pénales de la LCR, Berne 2007, nn. 24 et 82 ad art. 91 LCR); d’ailleurs, l’art. 55 al. 4 in fine LCR réserve expressément "tout autre moyen" que la prise de sang permettant de prouver l’incapacité de conduire. En l’occurrence, il ressort du rapport de police du 10 juin 2012 (pièce 4, p. 2), intitulé "rapport ivresse", que dans la nuit du 31 mai 2012, vers 01h00, V.________ a attiré l’attention d’une patrouille de police alors que son véhicule automobile était "stoppé sur la voie de circulation", que lorsque le véhicule de police est arrivé à sa hauteur, le conducteur "a pris la route avec peine" en direction de l’avenue de Belmont, que sa conduite était "hésitante", qu’au moment de son interpellation, il semblait "être pris de boisson", qu’il "vacillait même assis sur son siège" et que lorsqu’il est sorti de la voiture, il "titubait et son haleine sentait fortement l’alcool". Il résulte encore de ce rapport que "tout au long de la procédure, M. V.________ a eu une attitude des plus déplaisantes" et qu’il "tenait des propos compris de lui seul". Dans l’ordre de prise et d’analyse annexé audit rapport figurent, à la rubrique "Symptôme constaté par la police", l’indication "Ivresse au volant" et, à la rubrique "Brève description des faits", la phrase "Notre attention a été attirée par la conduite hésitante de ce dernier. M. V.________ avait fait preuve de mauvaise fois ( sic ) en soufflant dans l’éthylomètre en soufflant insuffisamment". Le rapport médical établi le jour même des faits mentionne notamment une amnésie quant à l’événement, une odeur d’alcool, une expression verbale volubile et, en ce qui concerne les tests d’attention, que celle-ci était "chancelante" au test de Romberg et que la démarche était "incertaine"; le médecin assistant a conclu à une incapacité de conduire "élevé[e]". On relèvera à ce propos que la précision apportée par ce médecin dans son courrier du 21 décembre 2012 selon laquelle il ne confirmait pas le contenu de son rapport ne concerne que le refus de la prise de sang indiquée au terme dudit rapport, mais ne remet pas en cause ses constatations quant à une forte incapacité de conduire de l’intéressé (pièce 19). Les déclarations que l’appelant a faites au sujet de sa consommation d’alcool le jour des faits (PV aud. 1), soit une demi-bouteille de vin rouge lors du repas à 20h47 et un verre de whisky au bar du [...] peu avant le contrôle, sont manifestement incompatibles avec l’état décrit par les policiers et la conclusion du médecin. En définitive, les constatations des policiers sur la conduite automobile incohérente et hasardeuse de V.________, soit sa claire difficulté à piloter, sur ses pertes d’équilibre tant assis que debout, la forte odeur d’alcool qui émanait de lui, associées au constat et à la conclusion du médecin assistant d’une forte incapacité de conduire et aux déclarations manifestement fausses du prénommé au sujet de sa consommation d’alcool convergent à se persuader que celui-ci était indubitablement pris de boisson lorsqu’il a conduit cette nuit-là. Ce faisant, le prévenu a provoqué illicitement et fautivement l’ouverture de la procédure pénale à son encontre au sens de l’art. 430 al. 1 let. a CPP. Peu importe que le premier juge n’ait pas invoqué cette disposition, contrairement à ce que soutient l’intéressé (appel, ch. 19, p. 7). Peu importe également que ce dernier, alors qu’il était dénoncé non seulement pour opposition à une mesure visant à déterminer l’incapacité de conduire mais également pour une "suspicion d’ébriété ou d’ivresse" (pièce 4, p. 4), n’ait pas été mis en accusation pour conduite en état d’ébriété en relation avec ces faits. Il résulte de ce qui précède que les conditions posées par la jurisprudence pour justifier un refus d'indemnité sans violer la présomption d'innocence (c. 3.1 supra ) sont réalisées. Le tribunal pouvait donc, sans violer les art. 429 et 430 CPP, refuser d'accorder à l'appelant une indemnité de première instance. Celui-ci ne peut pas non plus prétendre à une indemnité d'appel. Cela étant, force est de constater que le comportement du prévenu se trouve en lien de causalité avec les frais de justice engagés dans la présente cause et que, dès lors, le Tribunal de police aurait dû faire supporter à l'appelant l'entier des frais d'enquête et de jugement, ce que l'autorise à faire l'art. 426 al. 2 CPP. Toutefois, faute d’appel du Ministère public, la cour de céans ne peut pas revoir le jugement sur ce point (art. 404 CPP).</w:t>
      </w:r>
    </w:p>
    <w:p>
      <w:r>
        <w:rPr>
          <w:b/>
        </w:rPr>
        <w:t>E. 3.1</w:t>
      </w:r>
    </w:p>
    <w:p>
      <w:r>
        <w:t>Selon la jurisprudence du Tribunal fédéral,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Ces considérations valent mutatis mutandis lorsque le tribunal refuse d'allouer une indemnité au prévenu en cas de procédure se soldant sans condamnation (TF 6B_331/2012 du 22 octobre 2012 c. 2.3 et les références citées).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(Chapuis, Commentaire romand, Code de procédure pénale suisse, op. cit., n. 2 ad art. 426 CPP). Le fait reproché doit constituer une violation claire de la norme de comportement ( ATF 119 Ia 332 c. 1b p. 334; 116 Ia 162 c. 2d p. 171). L'acte répréhensible n'a pas à être commis intentionnellement. La négligence suffit, sans qu'il soit besoin qu'elle soit grossière ( ATF 109 Ia 160 c. 4a pp. 163 s.). L'acte répréhensible doit en outre se trouver dans une relation de causalité adéquate avec l'ouverture de l'enquête ou les obstacles mis à celle-ci. Tel est notamment le cas lorsque le comportement du prévenu était propre à faire naître, selon le cours ordinaire des choses et l'expérience de la vie, le soupçon d'un comportement punissable justifiant l'ouverture d'une enquête pénale ( ATF 116 Ia 162 c.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précité c. 2.3 et les références citées). Sur la base des principes précités, la jurisprudence a régulièrement admis qu'un comportement contraire à l'ordre juridique peut, sans violation de la présomption d'innocence, être retenu pour justifier la mise à charge des frais, respectivement le refus d'indemnité, même si l'action pénale pour l'infraction correspondante n'a pas abouti à une condamnation (cf. arrêts 6B_143/2010 du 22 juin 2010 c. 3.1; 1P.584/2006 du 22 décembre 2006 c. 9.3; 1P.543/2001 du 1er mars 2002 c. 1.2).</w:t>
      </w:r>
    </w:p>
    <w:p>
      <w:r>
        <w:rPr>
          <w:b/>
        </w:rPr>
        <w:t>E. 3.2</w:t>
      </w:r>
    </w:p>
    <w:p>
      <w:r>
        <w:t>En l’espèce, V.________ fait valoir qu’on ne peut lui reprocher, en relation avec les faits survenus dans la nuit du 31 mai 2012, aucun comportement qui aurait provoqué illicitement et fautivement l’ouverture de la procédure ou qui l’aurait compliquée au sens de l’art. 430 al. 1 let. a CPP (appel, ch. 19, p. 7). Contrairement à ce que soutient le prénommé, le fait qu’il ait été libéré de l’infraction d’opposition à une mesure visant à déterminer l’incapacité de conduire n’implique pas nécessairement l’absence d’un comportement illicite et, partant, l’octroi d’une indemnité au sens de l’art. 429 CPP, comme on vient de le voir (c. 3.1 supra ). Il y a donc lieu de déterminer si le conducteur en question a commis une faute à l’origine de l’enquête, ce qui est le cas s’il est établi qu’il a conduit en état d’ébriété au sens de l’art. 91 al. 1 LCR (loi fédérale sur la circulation routière du 19 décembre 1958; RS 741.01), même si son taux d’alcoolémie n’a pas été mesuré et qu’il n’a pas été accusé de cette infraction. On relèvera sur ce point que la preuve de l’ébriété peut être rapportée par d’autres moyens que la mesure du taux d’alcoolémie dans le sang, par exemple par examen médical ou par témoignages (Bussy/Rusconi, Code suisse de la circulation routière,</w:t>
      </w:r>
    </w:p>
    <w:p>
      <w:r>
        <w:rPr>
          <w:b/>
        </w:rPr>
        <w:t>E. 4</w:t>
      </w:r>
    </w:p>
    <w:p>
      <w:r>
        <w:t>En conclusion, l'appel doit être rejeté et le jugement attaqué intégralement confirmé. Vu l'issue de la cause, les frais d'appel doivent être mis à la charge de V.________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