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69 vom 10. Juli 2013</w:t>
      </w:r>
    </w:p>
    <w:p>
      <w:r>
        <w:t>VD Tribunal cantonal, 2013-07-10, FR</w:t>
      </w:r>
    </w:p>
    <w:p>
      <w:r>
        <w:rPr>
          <w:b/>
        </w:rPr>
        <w:t xml:space="preserve">Quelle: </w:t>
      </w:r>
      <w:r>
        <w:t>https://mcp.opencaselaw.ch/entscheid/vd_findinfo_Jug___2014___69</w:t>
      </w:r>
    </w:p>
    <w:p>
      <w:r>
        <w:t>FR: VD_FINDINFO Jug / 2014 / 69 du 10 juillet 2013</w:t>
      </w:r>
    </w:p>
    <w:p>
      <w:r>
        <w:t>IT: VD_FINDINFO Jug / 2014 / 69 del 10 luglio 2013</w:t>
      </w:r>
    </w:p>
    <w:p>
      <w:pPr>
        <w:pStyle w:val="Heading2"/>
      </w:pPr>
      <w:r>
        <w:t>Regeste</w:t>
      </w:r>
    </w:p>
    <w:p>
      <w:r>
        <w:t>PRÉSOMPTION D'INNOCENCE, CRÉDIBILITÉ, ADMINISTRATION DES PREUVES, FIXATION DE LA PEINE, PEINE COMPLÉMENTAIRE, CONCOURS RÉEL, RÉVOCATION DU SURSIS | 46 al. 1 CP, 46 CP, 47 CP, 49 al. 2 CP, 10 al. 1 CPP (CH), 10 al. 2 CPP (CH), 10 al. 3 CPP (CH), 10 CPP (CH)</w:t>
      </w:r>
    </w:p>
    <w:p>
      <w:pPr>
        <w:pStyle w:val="Heading2"/>
      </w:pPr>
      <w:r>
        <w:t>Erwägungen</w:t>
      </w:r>
    </w:p>
    <w:p>
      <w:r>
        <w:rPr>
          <w:b/>
        </w:rPr>
        <w:t>E. 1</w:t>
      </w:r>
    </w:p>
    <w:p>
      <w:r>
        <w:t>Interjetés dans les formes et délai légaux par des parties ayant la qualité pour recourir contre le jugement d’un tribunal de première instance qui a clos la procédure (art. 398 al. 1 CPP [Code de procédure pénale suisse du 5 octobre 2007, RS 312.0]), les appels d’I.________ et du Ministère public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I. Appel d’I.________</w:t>
      </w:r>
    </w:p>
    <w:p>
      <w:r>
        <w:rPr>
          <w:b/>
        </w:rPr>
        <w:t>E. 3</w:t>
      </w:r>
    </w:p>
    <w:p>
      <w:r>
        <w:t>L’appelant invoque une violation de la présomption d’innocence.</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w:t>
      </w:r>
    </w:p>
    <w:p>
      <w:r>
        <w:rPr>
          <w:b/>
        </w:rPr>
        <w:t>E. 3.2.1</w:t>
      </w:r>
    </w:p>
    <w:p>
      <w:r>
        <w:t>L’appelant soutient en premier lieu que le tribunal correctionnel n’aurait pas exposé d’éléments suffisants pour fonder sa condamnation pénale et que les faits retenus, soit une situation psychologique troublée de la victime, des antécédents d’actes d’ordre sexuel dans le cadre familial et un besoin de transgresser les règle, ne constitueraient pas des indices probants pertinents pour le désigner comme l’auteur des actes commis au préjudice de la plaignante.</w:t>
      </w:r>
    </w:p>
    <w:p>
      <w:r>
        <w:rPr>
          <w:b/>
        </w:rPr>
        <w:t>E. 3.2.2</w:t>
      </w:r>
    </w:p>
    <w:p>
      <w:r>
        <w:t>En l’occurrence, l’appelant omet, dans son analyse, de prendre en considération des éléments que les premiers juges ont pourtant relevés. On peut d’abord observer que l’attirance sexuelle éprouvée et admise par l’appelant pour la jeune fille constitue un point d’appréciation important. Lorsque l’on considère avec quelle obsession perverse il s’est mis en tête de la photographier de plus en plus dénudée, on discerne aisément les pulsions qui l’animaient. Devant le tribunal correctionnel, il a d’ailleurs reconnu que ces séances de photos lui plaisaient (jgt., p. 12). Les premiers juges ont également relevé que l’appelant connaissait parfaitement la situation de détresse de la victime, qui s’était confiée à lui à plusieurs reprises. Pourtant, connaissant cette fragilité, le prévenu l’a encore accentuée, en faisant croire à sa victime qu’il était atteint d’un cancer. Il a également admis devant les premiers juges avoir menti à cette dernière à ce sujet (jgt., p. 12). Les explications selon lesquelles il aurait menti pour dissimuler sa dépression sont risibles. Le mensonge avait au contraire pour but d’accroître son emprise sur l’adolescente. Par ailleurs, les observations des experts psychiatres dans leur rapport du 9 août 2006, sur lesquelles les premiers juges se sont également fondés, apportent effectivement des éléments d’appréciation pertinents, s’agissant notamment du besoin chez le prévenu de maîtrise et de contrôle de l’autre, dans un contexte de déni et d’organisation de défenses perverses (jgt., p. 20). Enfin, l’analogie des faits entre ceux décrits dans l’acte d’accusation et ceux concernant la condamnation prononcée le 2 juillet 2010 pour des infractions identiques commises au préjudice de Z.________ est frappante, s’agissant tant du type de victime, de sa situation et de son âge, que du mode opératoire. Ainsi, et contrairement à ce que soutient l’appelant, on distingue dans le jugement de nombreux éléments probatoires fondant l’état de fait retenu par les premiers juges, avant même d’examiner la crédibilité des accusations de la victime. On ne discerne donc pas à ce stade de violation de la présomption d’innocence.</w:t>
      </w:r>
    </w:p>
    <w:p>
      <w:r>
        <w:rPr>
          <w:b/>
        </w:rPr>
        <w:t>E. 3.3.1</w:t>
      </w:r>
    </w:p>
    <w:p>
      <w:r>
        <w:t>L’appelant soutient ensuite que c’est à tort que les premiers juges ont estimé qu’il n’y avait aucune raison de mettre en doute les accusations de la victime. Il fait valoir que ces déclarations ont varié, selon deux versions totalement contradictoires, la plaignante affirmant dans un premier temps n’avoir jamais eu d’actes d’ordre sexuel avec le prévenu. Il se réfère également aux déclarations de deux témoins qui ont déposés différemment sur les faits que la plaignante.</w:t>
      </w:r>
    </w:p>
    <w:p>
      <w:r>
        <w:rPr>
          <w:b/>
        </w:rPr>
        <w:t>E. 3.3.2</w:t>
      </w:r>
    </w:p>
    <w:p>
      <w:r>
        <w:t>En l’occurrence, les premiers juges n’ont pas ignoré les versions successives présentées par la plaignante sur les faits de la cause. Ils ont fait état qu’elle avait menti dans un premier temps aux inspecteurs pour protéger I.________ qu’elle considérait à l’époque comme son meilleur ami (jgt., p. 19). A cet égard, il est rappelé que ces déclarations sont intervenues en décembre 2008, soit quelques semaines après que la mère de la plaignante ait pris contact avec le Service de l’enfance et de la jeunesse notamment pour dénoncer la relation que sa fille entretenait avec le prévenu. L’intimée se trouvait donc, à cette période, encore sous l’emprise du prévenu qu’elle considérait toujours comme son ami. D’ailleurs, en 2009, cette dernière a pris contact avec lui alors qu’elle en avait l’interdiction (cf. P. 29, p. 17). Ce contexte explique donc les premières dénégations de l’adolescente au sujet de la réalité des actes d’ordre sexuel. Les variations de ses déclarations ne constituent ainsi pas un motif suffisant pour remettre en cause l’appréciation des preuves telle qu’effectuée par les premiers juges, ces déclarations étant de surcroît corroborées par les autres éléments rappelés ci-dessus (cf. c. 3.2.2 supra). Quant aux témoignages invoqués, ils ne portent en réalité pour l’essentiel que sur des aspects très subjectifs (la plaignante ne paraissait pas gênée durant les séances photos, l’appelant était son meilleur ami, elle avait même un ascendant sur lui, etc.) et ne sont donc pas décisifs. En outre, ils rejoignent en bonne partie ce que la plaignante a déclaré lorsqu’elle cherchait à protéger l’appelant. Ces éléments ne sont donc pas de nature à remettre en cause l’appréciation des preuves opérée en première instance. La conviction de la cour de céans rejoint ainsi celle des premiers juges.</w:t>
      </w:r>
    </w:p>
    <w:p>
      <w:r>
        <w:rPr>
          <w:b/>
        </w:rPr>
        <w:t>E. 3.4.1</w:t>
      </w:r>
    </w:p>
    <w:p>
      <w:r>
        <w:t>L’appelant se prévaut ensuite du contenu du dossier du Service de l’enfance et de la jeunesse de I’Etat de Fribourg, montrant que la plaignante est « aguicheuse » et qu’elle rencontre des problèmes avec l’autorité. En outre, iI conteste avoir fourni du cannabis à cette dernière, qui pouvait se fournir et en consommer sans lui. Il fait également état de contradictions dans les affirmations de l’adolescente, qui aurait en réalité pris conscience de l’attirance sexuelle qu’il éprouvait pour elle bien avant son audition par le Ministère public. Il souligne enfin que la plaignante a entretenu d’autres relations intimes avec des hommes.</w:t>
      </w:r>
    </w:p>
    <w:p>
      <w:r>
        <w:rPr>
          <w:b/>
        </w:rPr>
        <w:t>E. 3.4.2</w:t>
      </w:r>
    </w:p>
    <w:p>
      <w:r>
        <w:t>En réalité, rien dans l’argumentation de l’appelant ne permet d’entamer la conviction mentionnée ci-dessus. II est en effet usuel qu’une jeune femme ayant déjà été victime antérieurement d’abus sexuels, comme c’est le cas de la plaignante, adopte des comportements provocateurs ou même entretienne d’autres rapports sexuels qui seraient prohibés. Il est également possible que la plaignante ait consommé des produits stupéfiants qui n’ont pas été fournis par l’appelant. Toutefois, cela importe peu, comme il est en définitive indifférent de déterminer le moment où la jeune femme a réellement pris conscience de l’attirance du prévenu pour elle. Pris dans leur ensemble, les griefs de l’appelant relèvent plus d’une tentative de dénigrement de la victime que de moyens pertinents sous l’angle probatoire.</w:t>
      </w:r>
    </w:p>
    <w:p>
      <w:r>
        <w:rPr>
          <w:b/>
        </w:rPr>
        <w:t>E. 3.5.1</w:t>
      </w:r>
    </w:p>
    <w:p>
      <w:r>
        <w:t>L’appelant conteste également avoir mis à profit sexuellement l’endormissement de la plaignante et avoir passé outre les refus exprimés par cette dernière.</w:t>
      </w:r>
    </w:p>
    <w:p>
      <w:r>
        <w:rPr>
          <w:b/>
        </w:rPr>
        <w:t>E. 3.5.2</w:t>
      </w:r>
    </w:p>
    <w:p>
      <w:r>
        <w:t>En l’occurrence, il s’agit de contestations fondées sur des versions antérieures de la victime et sur lesquelles elle est revenue. Le fait que l’appelant ait parfois dormi avec la jeune fille sans en profiter ne change rien aux accusations précises de cette dernière, qui indique s’être réveillée alors que le prévenu lui caressait le sexe par-dessous son pyjama. Quant aux refus exprimés par la victime et qui auraient été pris en considération par l’appelant, ils sont sans pertinence, ce dernier n’ayant pas été condamné pour contrainte sexuelle.</w:t>
      </w:r>
    </w:p>
    <w:p>
      <w:r>
        <w:rPr>
          <w:b/>
        </w:rPr>
        <w:t>E. 3.6.1</w:t>
      </w:r>
    </w:p>
    <w:p>
      <w:r>
        <w:t>Enfin, l’appelant fait valoir que la plaignante a subi d’autres actes plus graves et qu’il a formulé des réquisitions pour que toute la lumière soit faite sur ces faits. Or, ces réquisitions ont été rejetées, ce qui signifierait que les autorités n’ont pas cru A.________. En définitive, il aurait été accusé à tort, en raison des photos compromettantes</w:t>
      </w:r>
    </w:p>
    <w:p>
      <w:r>
        <w:rPr>
          <w:b/>
        </w:rPr>
        <w:t>E. 3.6.2</w:t>
      </w:r>
    </w:p>
    <w:p>
      <w:r>
        <w:t>S’il n’a pas été donné suite aux réquisitions de preuve de l’appelant, c’est que les faits qu’il invoque ne concernent pas la présente procédure et qu’à supposer avérés, ils sont sans incidence sur la cause à juger ici. Quant à l’hypothèse qu’il aurait été accusé à la place d’un tiers, elle ne résiste pas à l’examen, la plaignante ayant mentionné le prénom de [...] pour les autres faits.</w:t>
      </w:r>
    </w:p>
    <w:p>
      <w:r>
        <w:rPr>
          <w:b/>
        </w:rPr>
        <w:t>E. 3.7</w:t>
      </w:r>
    </w:p>
    <w:p>
      <w:r>
        <w:t>En définitive, mal fondés, tous les moyens de l’appelant doivent être rejetés. II. Appel du Ministère public</w:t>
      </w:r>
    </w:p>
    <w:p>
      <w:r>
        <w:rPr>
          <w:b/>
        </w:rPr>
        <w:t>E. 4</w:t>
      </w:r>
    </w:p>
    <w:p>
      <w:r>
        <w:t>Le Ministère public soutient d’abord que la peine infligée est trop clémente et estime qu’elle doit être arrêtée à 18 mois.</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ATF 134 IV 17 c. 2.1; ATF 129 IV 6 c. 6.1).</w:t>
      </w:r>
    </w:p>
    <w:p>
      <w:r>
        <w:rPr>
          <w:b/>
        </w:rPr>
        <w:t>E. 4.1.2</w:t>
      </w:r>
    </w:p>
    <w:p>
      <w:r>
        <w:t>Aux termes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cas (normal) du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(TF 6B_455/2013 du 29 juillet 2013 c. 2.4.1; TF 6B_28/2008 du 10 avril 2008 c. 3.3.1).</w:t>
      </w:r>
    </w:p>
    <w:p>
      <w:r>
        <w:rPr>
          <w:b/>
        </w:rPr>
        <w:t>E. 4.2</w:t>
      </w:r>
    </w:p>
    <w:p>
      <w:r>
        <w:t>En l’espèce, la culpabilité d’I.________ est lourde. Les faits dont il doit répondre, qui sont en concours, sont graves. Comme retenu par les premiers juges, l’appelant a agi à la façon d’un prédateur bien rôdé et s’est enferré dans une attitude de déni, en s’érigeant en victime et en reportant la faute sur la plaignante. Il n’a en outre présenté aucune excuse ni regret à l’endroit de cette dernière, ce qui dénote une absence totale de prise de conscience. A décharge, il est tenu compte de l’écoulement du temps. Par ailleurs, la peine à prononcer est entièrement complémentaire à celle de 18 mois infligée le 2 juillet 2010 par la Cour de cassation. Selon le jugement de première instance, pour l’ensemble des faits commis notamment au préjudice de Z.________ et d’A.________, c’est une peine privative de liberté de 28 mois qui est adéquate. Compte tenu de la gravité objective des faits et des fautes commises, la peine complémentaire retenue par les premiers juges apparaît correctement mesurée et doit être confirmée. Mal fondé, le premier grief du Ministère public doit être rejeté.</w:t>
      </w:r>
    </w:p>
    <w:p>
      <w:r>
        <w:rPr>
          <w:b/>
        </w:rPr>
        <w:t>E. 5</w:t>
      </w:r>
    </w:p>
    <w:p>
      <w:r>
        <w:t>Le procureur soutient ensuite que le sursis accordé le 14 mars 2007 et prolongé le 2 juillet 2010 doit être révoqué.</w:t>
      </w:r>
    </w:p>
    <w:p>
      <w:r>
        <w:rPr>
          <w:b/>
        </w:rPr>
        <w:t>E. 5.1</w:t>
      </w:r>
    </w:p>
    <w:p>
      <w:r>
        <w:t>Aux termes de l’art. 46 al. 3 CP, le juge appelé à connaître du nouveau crime ou du nouveau délit est également compétent pour statuer sur la révocation d’un sursis précédemment octroyé. Le juge doit ainsi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(art. 46 al. 1 CP). Cette dernière condition implique l'existence d'un pronostic défavorable quant au comportement futur du condamné (ATF 134 IV 140 c. 4.3). Elle correspond donc à l'une des conditions de l'octroi du sursis, de sorte que, comme dans ce dernier cas, le pronostic à émettre doit reposer sur une appréciation d'ensemble de tous les éléments pertinents (ATF 134 IV 140 c. 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 4.5).</w:t>
      </w:r>
    </w:p>
    <w:p>
      <w:r>
        <w:rPr>
          <w:b/>
        </w:rPr>
        <w:t>E. 5.2</w:t>
      </w:r>
    </w:p>
    <w:p>
      <w:r>
        <w:t>En l’espèce, il est indéniable que l’intimé a commis de nombreuses infractions durant le délai d’épreuve imparti par jugement du 14 mars 2007. Les récidives ont été commises de fin avril à octobre 2008 pour les faits de la présente cause et entre le 14 mars et le 6 juin 2007 pour les infractions jugées le 2 juillet 2010. L’exécution de la seule peine complémentaire ne suffit pas. L’expertise psychiatrique, certes de 2006, mais toujours d’actualité (jgt., p. 24), met en évidence un risque de récidive patent. Plus inquiétant, tous les rapports thérapeutiques ultérieurs montrent un déni de responsabilité, une manipulation de la réalité et, surtout, un fonctionnement pervers peu susceptible d’évoluer (jgt., p. 20). La version soutenue tout au long de la procédure et encore en appel le confirme. L’intimé a déjà exécuté une peine privative de liberté qui n’a eu que peu d’effets, dès lors qu’il continue à inverser les responsabilités (jgt., p 24). Le pronostic est donc très sombre et la révocation du sursis s’impose. C’est d’ailleurs à tort que le tribunal correctionnel a considéré que les juges qui ont renoncé à révoquer le sursis (selon un jugement de première instance du 12 avril 2010) n’auraient pas procédé différemment s’ils avaient eu connaissance des faits commis entre fin avril et octobre 2008. En effet, la pluralité des victimes et les réitérations en cours d’enquête auraient dicté au contraire, comme aujourd’hui, la révocation du sursis. Au surplus, le délai d’épreuve prolongé le 2 juillet 2010 arrive à échéance le 14 septembre 2014, de sorte que le délai de l’art. 46 al. 5 CP n’a pas encore commencé à courir.</w:t>
      </w:r>
    </w:p>
    <w:p>
      <w:r>
        <w:rPr>
          <w:b/>
        </w:rPr>
        <w:t>E. 6</w:t>
      </w:r>
    </w:p>
    <w:p>
      <w:r>
        <w:t>En définitive, l’appel d’I.________ doit être rejeté et celui du Ministère public partiellement admis, en ce sens que le chiffre III du dispositif du jugement entrepris est modifié, le sursis accordé le 14 mars 2007 et prolongé le 2 juillet 2010 étant révoqué, et l’exécution de la peine privative de liberté de 15 mois ordonnée.</w:t>
      </w:r>
    </w:p>
    <w:p>
      <w:r>
        <w:rPr>
          <w:b/>
        </w:rPr>
        <w:t>E. 7</w:t>
      </w:r>
    </w:p>
    <w:p>
      <w:r>
        <w:t>Vu l'issue de la cause, les frais de la procédure d'appel par 2’460 fr. (art. 21 al. 1 et 2 TFJP [Tarif des frais judiciaires pénaux du 28 septembre 2010, RSV 312.03.1]), ainsi que l'indemnité d’office allouée à Me Gilles Monnier, par 2'280 fr., TVA et débours compris, et à Me Antonella Cereghetti Zwahlen, par 1'684 fr. 80, TVA et débours compris, sont mis par trois quarts à la charge d’I.________, le solde étant laissé à la charge de l’Etat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