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68 vom 7. März 2014</w:t>
      </w:r>
    </w:p>
    <w:p>
      <w:r>
        <w:t>VD Tribunal cantonal, 2014-03-07, FR</w:t>
      </w:r>
    </w:p>
    <w:p>
      <w:r>
        <w:rPr>
          <w:b/>
        </w:rPr>
        <w:t xml:space="preserve">Quelle: </w:t>
      </w:r>
      <w:r>
        <w:t>https://mcp.opencaselaw.ch/entscheid/vd_findinfo_Jug___2014___68</w:t>
      </w:r>
    </w:p>
    <w:p>
      <w:r>
        <w:t>FR: VD_FINDINFO Jug / 2014 / 68 du 7 mars 2014</w:t>
      </w:r>
    </w:p>
    <w:p>
      <w:r>
        <w:t>IT: VD_FINDINFO Jug / 2014 / 68 del 7 marzo 2014</w:t>
      </w:r>
    </w:p>
    <w:p>
      <w:pPr>
        <w:pStyle w:val="Heading2"/>
      </w:pPr>
      <w:r>
        <w:t>Regeste</w:t>
      </w:r>
    </w:p>
    <w:p>
      <w:r>
        <w:t>CONTRAINTE SEXUELLE, MENACE{DROIT PÉNAL}, VOIES DE FAIT, DOMMAGE MATÉRIEL, DOMMAGES À LA PROPRIÉTÉ{DROIT PÉNAL}, INJURE, INFRACTIONS CONTRE LES COMMUNICATIONS PUBLIQUES, INSTALLATION DE TÉLÉCOMMUNICATION, VIOLATION DES DEVOIRS EN CAS D'ACCIDENT, VIOLATION DES RÈGLES DE LA CIRCULATION, SOUSTRACTION À LA PRISE DE SANG, CONDUITE EN ÉTAT D'IVRESSE, IVRESSE, PERMIS DE CONDUIRE, CONDUITE SANS AUTORISATION, LOI FÉDÉRALE SUR LES STUPÉFIANTS ET LES SUBSTANCES PSYCHOTROPES | 126 CP, 144 CP, 177 CP, 179septies CP, 180 CP, 189 CP, 19 al. 2 CP, 22 CP, 40 CP, 43 CP, 46 CP, 47 CP, 49 CP, 50 CP, 51 CP, 63 CP, 91 al. 1 LCR, 91 al. 2 LCR, 91 LCR, 91a al. 1 LCR, 99 ch. 3 LCR, 19a ch. 1 LStup, 143 ch. 3 al. 1 OAC</w:t>
      </w:r>
    </w:p>
    <w:p>
      <w:pPr>
        <w:pStyle w:val="Heading2"/>
      </w:pPr>
      <w:r>
        <w:t>Erwägungen</w:t>
      </w:r>
    </w:p>
    <w:p>
      <w:r>
        <w:rPr>
          <w:b/>
        </w:rPr>
        <w:t>E. 49</w:t>
      </w:r>
    </w:p>
    <w:p>
      <w:r>
        <w:t>CO), S.________ conteste tout traumatisme, dès lors que l’intéressée n’a pas consulté de médecin ou de thérapeute, et soutient que l’existence d’un trouble post-traumatique n’est pas établie et ne peut l’être sur la seule base des déclarations de la victime. 6.1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6B 345/2012 du 9 octobre 2012 c. 3.1 et les références citées). 6.2 Les déclarations détaillées, répétées et crédibles de la plaignante relatives à l’impact destructeur sur sa personnalité du comportement persécuteur de l'appelant (p. 17 à 19 et 27), plus particulièrement quant aux peurs ressenties à long terme et aux pertes de confiance amenant à l’isolement, emportent la conviction. Cette victime a d’ailleurs vécu une trajectoire et des souffrances semblables à celles de la première victime. L’interrogatoire et la déposition de parties sont un mode de preuve en procédure civile (art. 168 al. 1 let. f CPC, Code de procédure civile du 19 décembre 2008; RS 272). Pour que le contenu des déclarations évoquant les souffrances causées par l’auteur des actes illicites soient considérées comme prouvé, il n’est donc pas nécessaire qu’elles soient recueillies par un tiers médecin ou soignant plutôt que directement par le juge. Sur cette question l’appel doit être rejeté. 7. En définitive, l'appel de S.________ doit être rejeté et celui du Ministère public partiellement admis dans le sens des considérants. 8. Compte tenu de l'ampleur de la procédure et de la connaissance du dossier déjà acquise en première instance, une indemnité de défenseur d'office pour la procédure d'appel d'un montant de 3'538 fr. 60, débours et TVA inclus, est allouée à Me Claire Charton. Cela correspond à 18 heures à 180 fr., plus 36 fr. 50 de débours et 8 % de TVA. Vu le sort des appels, les frais de seconde instance, y compris l'indemnité allouée au défenseur d'office ci-dessus, sont mis à la charge de S.________ (art. 428 al. 1 CPP). S.________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