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63 vom 12. Dezember 2013</w:t>
      </w:r>
    </w:p>
    <w:p>
      <w:r>
        <w:t>VD Tribunal cantonal, 2013-12-12, FR</w:t>
      </w:r>
    </w:p>
    <w:p>
      <w:r>
        <w:rPr>
          <w:b/>
        </w:rPr>
        <w:t xml:space="preserve">Quelle: </w:t>
      </w:r>
      <w:r>
        <w:t>https://mcp.opencaselaw.ch/entscheid/vd_findinfo_Jug___2014___63</w:t>
      </w:r>
    </w:p>
    <w:p>
      <w:r>
        <w:t>FR: VD_FINDINFO Jug / 2014 / 63 du 12 décembre 2013</w:t>
      </w:r>
    </w:p>
    <w:p>
      <w:r>
        <w:t>IT: VD_FINDINFO Jug / 2014 / 63 del 12 dicembre 2013</w:t>
      </w:r>
    </w:p>
    <w:p>
      <w:pPr>
        <w:pStyle w:val="Heading2"/>
      </w:pPr>
      <w:r>
        <w:t>Regeste</w:t>
      </w:r>
    </w:p>
    <w:p>
      <w:r>
        <w:t>IN DUBIO PRO REO, APPRÉCIATION DES PREUVES | 32 al. 1 Cst., 398 al. 4 CPP (CH), 406 al. 1 let. c CPP (CH)</w:t>
      </w:r>
    </w:p>
    <w:p>
      <w:pPr>
        <w:pStyle w:val="Heading2"/>
      </w:pPr>
      <w:r>
        <w:t>Erwägungen</w:t>
      </w:r>
    </w:p>
    <w:p>
      <w:r>
        <w:rPr>
          <w:b/>
        </w:rPr>
        <w:t>E. 1</w:t>
      </w:r>
    </w:p>
    <w:p>
      <w:r>
        <w:t>a)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le jugement du tribunal de première instance ayant clos la procédure (art. 398 al. 1 CPP), l’appel de S.________ est recevable. b) S'agissant d'un appel dirigé contre une contravention, la procédure est écrite (art. 406 al. 1 let. c CPP) et la cause relève de la compétence d'un juge unique (art. 14 al. 3 LVCPP [loi vaudoise d'introduction du Code de procédure pénale suisse du 19 mai 2009 , RSV 312.01]).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22-23 ad art. 398 CPP). c) En l’espèce, seule une contravention à la législation sur la circulation routière a fait l’objet de l’accusation et du jugement de première instance, de sorte que l’appel est restreint.</w:t>
      </w:r>
    </w:p>
    <w:p>
      <w:r>
        <w:rPr>
          <w:b/>
        </w:rPr>
        <w:t>E. 2</w:t>
      </w:r>
    </w:p>
    <w:p>
      <w:r>
        <w:t>L’appelant conteste les faits et invoque la présomption d’innocence. Il reproche au premier juge d’avoir considéré que les explications des policiers étaient précises et fiables. a)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6B_562/2010 du 28 octobre 2010 c. 2.1.1; TF 6B_831/2009 du 25 mars 2010 c. 2.2.1).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6B_562/2010 du 28 octobre 2010 c. 2.1.1; TF 6B_831/2009 précité c.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l'appréciation des preuves se confond avec l'interdiction générale de l'arbitraire, prohibant une appréciation reposant sur des preuves inadéquates ou sans pertinence. b) S.________ soutient tout d’abord que le rapport de police n’indique pas clairement où les faits litigieux se seraient produits. Cela n’est pas exact dès lors que le rapport de police mentionne en page 2, sous la rubrique « Endroit », que les gendarmes circulaient sur l’A9 Lausanne-Simplon, chaussée lac, et qu’ils ont constaté l’infraction dès le km 36 (Montreux-Villeneuve), sis dans le district de la Riviera-Pays d’Enhaut. c) L’appelant soutient que les policiers ne pouvaient pas constater l’infraction, en raison de la configuration des lieux, des conditions du moment, de la densité du trafic et de leur angle de vision notamment. En l’occurrence, les faits se sont déroulés en pleine journée. Il y avait des travaux et la circulation se faisait en file. Il ressort du rapport de police que les policiers circulaient sur la voie de droite, alors que le prévenu se tenait sur la voie de gauche. De plus, le dénonciateur, entendu lors des débats, a expliqué que la patrouille avait été dépassée par le prévenu, ce qui lui avait permis de constater la distance insuffisante. Les gendarmes ont ensuite suivi l’intéressé sur environ un kilomètre et n’ont pas constaté de changements à la distance qui séparait la voiture du prévenu et celle qui le précédait. Ces explications sont cohérentes et convaincantes, les dénonciateurs ayant au demeurant l’habitude d’estimer les distances et étant assermentés. On relèvera enfin qu’il ressort du rapport de police que, lors de son interpellation, le prévenu a fini par admettre les faits et reconnaître qu’il circulait effectivement à une distance de cinq à six mètres du véhicule qui le précédait. d) L’appelant se plaint aussi du fait que le rapport de police n’indique pas à quelle vitesse lui-même ou les policiers circulaient, qu’aucun élément ne permet de la définir, le dénonciateur n’étant à cet égard pas crédible en ne s’en souvenant que lors de l’audience. Ces allégations de l’appelant sont inexactes. Il ressort en effet du rapport de police que le prévenu roulait à une vitesse d’environ 80 km/heure. Aux débats, le dénonciateur a expliqué qu’il avait fait cette estimation parce que la patrouille roulait elle-même à 75 km/h et qu’elle avait été dépassée. Cette explication est claire. e) L’appelant fait valoir en dernier lieu que son véhicule est pourvu d’un régulateur de vitesse, qui l’oblige à freiner s’il est trop proche de la voiture précédente ; ce dispositif est selon lui « configuré d’usine et ne nécessite pas de manipulation particulière ». Il aurait été enclenché le jour en question. En l’occurrence, rien, à part les déclarations du prévenu, ne prouve que le dispositif était enclenché au moment des faits. L’intéressé, qui a de mauvais antécédents en matière de circulation routière et est directement intéressé au sort de la cause, n’est à cet égard pas crédible dans la mesure où ses allégations se heurtent aux constatations des policiers. Du reste, il est conseillé par le fabricant du véhicule – cela ressort aussi de la notice technique produite – de n’utiliser le régulateur de vitesse adaptatif que « quand les conditions sont favorables, c'est-à-dire sur routes droites, sèches et dégagées avec peu de circulation » (cf. notice technique, p. 154). Il est dès lors fort peu probable qu’il ait été mis en marche dans des conditions de circulation telles que celles rencontrées au moment des faits litigieux. Au vu de l’ensemble des éléments qui précèdent, il ne subsiste pas de doute raisonnable quant à la culpabilité de S.________. C’est dès lors à bon droit que le tribunal a considéré qu’il s’était rendu coupable de violation simple des règles de la circulation. L’appelant ne conteste pas la qualification juridique des faits ni la sanction prononcée.</w:t>
      </w:r>
    </w:p>
    <w:p>
      <w:r>
        <w:rPr>
          <w:b/>
        </w:rPr>
        <w:t>E. 3</w:t>
      </w:r>
    </w:p>
    <w:p>
      <w:r>
        <w:t>En définitive, l’appel doit être rejeté et le jugement du 12 décembre 2013 intégralement confirmé. Vu l’issue de la cause, les frais d’appel doivent être mis à la charge de S.________, qui succombe (art. 426 al. 1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