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55 vom 28. August 2013</w:t>
      </w:r>
    </w:p>
    <w:p>
      <w:r>
        <w:t>VD Tribunal cantonal, 2013-08-28, FR</w:t>
      </w:r>
    </w:p>
    <w:p>
      <w:r>
        <w:rPr>
          <w:b/>
        </w:rPr>
        <w:t xml:space="preserve">Quelle: </w:t>
      </w:r>
      <w:r>
        <w:t>https://mcp.opencaselaw.ch/entscheid/vd_findinfo_Jug___2014___55</w:t>
      </w:r>
    </w:p>
    <w:p>
      <w:r>
        <w:t>FR: VD_FINDINFO Jug / 2014 / 55 du 28 août 2013</w:t>
      </w:r>
    </w:p>
    <w:p>
      <w:r>
        <w:t>IT: VD_FINDINFO Jug / 2014 / 55 del 28 agosto 2013</w:t>
      </w:r>
    </w:p>
    <w:p>
      <w:pPr>
        <w:pStyle w:val="Heading2"/>
      </w:pPr>
      <w:r>
        <w:t>Regeste</w:t>
      </w:r>
    </w:p>
    <w:p>
      <w:r>
        <w:t>UTILISATION FRAUDULEUSE D'UN ORDINATEUR | 147 CP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Le Ministère public a, de droit, la qualité pour recourir, soit pour interjeter appel, en application de l'art. 381 al. 1 CPP. Suffisamment motivé, l'appel est recevable (art. 399 al. 1 et 3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reproche au premier juge d’avoir libéré à tort W.________ du chef d’accusation d’utilisation frauduleuse d’un ordinateur au sens de l’art. 147 CP. Il soutient que les conditions d’application de cette disposition sont réalisées à l’exclusion de l’art. 150 CP.</w:t>
      </w:r>
    </w:p>
    <w:p>
      <w:r>
        <w:rPr>
          <w:b/>
        </w:rPr>
        <w:t>E. 3.1.1</w:t>
      </w:r>
    </w:p>
    <w:p>
      <w:r>
        <w:t>Aux termes de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Cette infraction s’inspire dans une large mesure des éléments constitutifs classiques de l’escroquerie ; les caractéristiques qui les distinguent peuvent en gros se résumer de la façon suivante : une manipulation de données et l’obtention d’un résultat inexact du processus de traitement des données remplacent la tromperie astucieuse et l’erreur inspirée à la victime de l’escroquerie, alors que le transfert d’actifs effectué par l’ordinateur se substitue aux actes préjudiciables à des intérêts pécuniaires qu’entreprend la victime de l’escroquerie. La manipulation doit provoquer un résultat différent de celui qui aurait été obtenu si les données avaient été utilisées en bonne et due forme lors du processus de traitement des données (Message du Conseil fédéral du 24 avril 1991 concernant la modification du code pénal suisse et du code pénal militaire, FF 1991 II 933 ss, spéc. 989-991). L’élément constitutif de l’utilisation de données de manière indue est ainsi réalisé lorsque l’auteur introduit dans le processus électronique des données certes correctes, mais dont il n’a pas le droit de faire usage, à l’exemple de celui qui dérobe une carte bancaire ou postale et en utilise ensuite le code pour retirer de l’argent. Autrement dit, l’auteur fausse les conditions qui déterminent la réaction de la machine (Favre/Pellet/Stoudmann, Code pénal annoté, 3 ème éd. 2007, n. 1.2 ad art. 147 CP et les références citées ; ATF 129 IV 315, JT 2005 IV 9 c. 2.1).</w:t>
      </w:r>
    </w:p>
    <w:p>
      <w:r>
        <w:rPr>
          <w:b/>
        </w:rPr>
        <w:t>E. 3.1.2</w:t>
      </w:r>
    </w:p>
    <w:p>
      <w:r>
        <w:t>L’art. 150 CP dispose que celui qui, sans bourse délier, aura frauduleusement obtenu une prestation qu’il savait ne devoir être fournie que contre paiement, notamment celui qui se sera servi d’un ordinateur ou d’un appareil automatique, sera, sur plainte, puni d’une peine privative de liberté de trois ans au plus ou d’une peine pécuniaire. L’application de cette disposition est subsidiaire à l’escroquerie et à l’utilisation frauduleuse d’un ordinateur (Dupuis et alii, Petit commentaire du Code pénal, Bâle 2012, n. 25 ad art. 150 CP et les références citées). La notion d’utilisation d’un ordinateur ou d’un appareil automatique doit être interprétée dans le sens que la prestation informatique ou automatique doit être offerte à un large public (Dupuis et alii, op. cit., n. 19 ad art. 150 CP et les références citées).</w:t>
      </w:r>
    </w:p>
    <w:p>
      <w:r>
        <w:rPr>
          <w:b/>
        </w:rPr>
        <w:t>E. 3.2</w:t>
      </w:r>
    </w:p>
    <w:p>
      <w:r>
        <w:t>En l’espèce, le premier juge a retenu que les prévenus se connectaient au site de travail d’Y.________ au moyen de leur nom d’utilisateur et de leur mot de passe, lequel ouvrait l’accès à l’Intranet de [...]. Considérant qu’ils n’avaient pas omis d’indiquer les précisions nécessaires, le premier juge a conclu que faute d’avoir faussé le programme informatique par une manipulation, les conditions d’application de l’art. 147 CP n’étaient pas réalisées (jgt., p. 9). La Cour d’appel ne peut suivre ce raisonnement. Les prévenus n’étaient pas légitimés à commander des billets de trains via l’Intranet de [...]. Peu importe que la manipulation ait été correcte. Ils ont bel et bien volontairement trompé la machine pour obtenir des prestations indues en leur faveur. Les éléments constitutifs de l’infraction d’utilisation frauduleuse d’un ordinateur au sens de l’art. 147 CP sont dès lors réunis. Au vu de ce qui précède, W.________ doit être condamné pour utilisation frauduleuse d’un ordinateur et A.________ pour utilisation frauduleuse d’un ordinateur et instigation à cette infraction. Le moyen soulevé par l’appelant est fondé et l’appel doit être admis sur ce point.</w:t>
      </w:r>
    </w:p>
    <w:p>
      <w:r>
        <w:rPr>
          <w:b/>
        </w:rPr>
        <w:t>E. 4</w:t>
      </w:r>
    </w:p>
    <w:p>
      <w:r>
        <w:t>L’appelant conclut à la confirmation du dispositif de l’ordonnance pénale du 1 er mars 2013, prononçant à l’encontre de W.________ une peine de 80 jours-amende, le jour-amende étant fixé à 30 fr., avec sursis partiel pendant 4 ans, la partie ferme portant sur 40 jours-amende.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4.1.2</w:t>
      </w:r>
    </w:p>
    <w:p>
      <w:r>
        <w:t>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Le législateur n’a pas fixé de montant minimum au jour-amende pour permettre de l’adapter à la situation particulière des personnes sans revenus ou à revenu faible, notamment les chômeurs, étudiants, hommes ou femmes au foyer. La peine pécuniaire doit également être prononcée à l’encontre d’auteurs dont les revenus sont très faibles, voire n’atteignent pas le minimum vital, à défaut de quoi ces personnes risqueraient de se voir souvent infliger des peines privatives de liberté, la peine pécuniaire semblant peu adéquate (Dupuis et alii, op. cit., n. 12 ad art. 34 CP et les références citées). Le Tribunal fédéral a arrêté le montant minimal du jour-amende à 10 fr. même pour les condamnés bénéficiant d’un revenu faible, afin d’éviter que le montant du jour-amende ne soit réduit à une valeur symbolique et que la peine pécuniaire ne perde toute signification (ATF 135 IV 180 c. 1.4.2 ; TF 6B_760/2008 du 30 juin 2009 c. 2.1).</w:t>
      </w:r>
    </w:p>
    <w:p>
      <w:r>
        <w:rPr>
          <w:b/>
        </w:rPr>
        <w:t>E. 4.1.3</w:t>
      </w:r>
    </w:p>
    <w:p>
      <w:r>
        <w:t>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w:t>
      </w:r>
    </w:p>
    <w:p>
      <w:r>
        <w:rPr>
          <w:b/>
        </w:rPr>
        <w:t>E. 4.2</w:t>
      </w:r>
    </w:p>
    <w:p>
      <w:r>
        <w:t>En l’espèce, la culpabilité de W.________ n’est pas négligeable. A charge, on retiendra qu’il a sciemment trompé la confiance de son employeur et qu’il a agi par appât du gain, alors qu’il avait déjà été condamné à trois reprises entre 2005 et 2007, dont deux fois pour des infractions contre le patrimoine. A décharge, il y lieu de tenir compte de la reconnaissance de dette signée en faveur de la plaignante Y.________ lors des débats de première instance. Au vu de l’ensemble de ces éléments, une peine pécuniaire de 80 jours-amende, le montant du jour-amende étant fixé au minimum de 10 fr., est adéquate au regard des infractions commises, de la culpabilité de W.________ et de sa situation financière précaire. Compte tenu de ses antécédents pénaux, le pronostic est mitigé. Cela justifie que la peine soit assortie du sursis partiel, portant sur quarante jours, le délai d’épreuve étant fixé à quatre ans.</w:t>
      </w:r>
    </w:p>
    <w:p>
      <w:r>
        <w:rPr>
          <w:b/>
        </w:rPr>
        <w:t>E. 5</w:t>
      </w:r>
    </w:p>
    <w:p>
      <w:r>
        <w:t>A titre subsidiaire, dans le cas où son premier moyen ne serait pas admis, l’appelant conteste l’application d’office de l’art. 392 al. 2 CPP faite par le premier juge en faveur de A.________. Compte tenu de l’admission de l’appel, ce grief devient sans objet et l’ordonnance de condamnation rendue le 1 er mars 2013 est intégralement confirmée s’agissant de A.________. Par surabondance, il faut relever que le premier juge ne pouvait pas appliquer d’office l’art. 392 al. 2 CPP sans au moins avoir averti le Ministère public (Moreillon / Parein-Reymond, Petit commentaire, Code de procédure pénale, Bâle 2013, n. 6 ad art. 392 CPP).</w:t>
      </w:r>
    </w:p>
    <w:p>
      <w:r>
        <w:rPr>
          <w:b/>
        </w:rPr>
        <w:t>E. 6</w:t>
      </w:r>
    </w:p>
    <w:p>
      <w:r>
        <w:t>En définitive, l’appel du Ministère public de l’arrondissement de Lausanne est partiellement admis en ce sens que W.________ est condamné pour utilisation frauduleuse d’un ordinateur au sens de l’art. 147 CP, à une peine de 80 jours-amende, le montant du jour-amende étant arrêté à 10 fr., avec sursis portant sur 40 jours-amende, pendant quatre ans. Le jugement rendu le 28 août 2013 par le Tribunal de police de l’arrondissement de Lausanne est modifié dans le sens des considérants.</w:t>
      </w:r>
    </w:p>
    <w:p>
      <w:r>
        <w:rPr>
          <w:b/>
        </w:rPr>
        <w:t>E. 7</w:t>
      </w:r>
    </w:p>
    <w:p>
      <w:r>
        <w:t>A.________ n’ayant pas contesté l’ordonnance pénale du 1 er mars 2013, il n’y a pas lieu – par équité - de lui faire supporter les frais de la présente procédure, ce nonobstant le fait qu’elle a conclu au rejet de l’appel. Vu l'issue de l’appel, les frais de la procédure d'appel doivent être mis par moitié à la charge de W.________ qui a conclu au rejet de l’appel, le solde étant laissé à la charge de l’Etat (art. 428 al. 1, 1 er phrase, CPP). Outre l'émolument, par 1’610 fr. (art. 21 al. 1 et 2 TFJP [Tarif des frais judiciaires pénaux du 28 septembre 2010, RSV 312.03.1]), les frais d’appel comprennent l’indemnité allouée aux défenseurs d’office des prévenus pour les opérations liées à la procédure d'appel (art. 135 al. 2 et 422 al. 2 let. a CPP; art. 2 al. 2 ch. 1 TFJP). Compte tenu de l'ampleur et la complexité de la cause en appel, l'indemnité allouée au défenseur d'office de W.________ doit être fixée sur la base d'une durée d'activité de 6 heures pour l’avocat breveté, rémunérées à hauteur de 180 fr. l'heure, et de 2 heures 35 pour l’avocat stagiaire, rémunérées au tarif de 110 fr. l’heure. Il convient d’y ajouter un montant de 120 fr. au titre des frais de vacation ainsi que la TVA (art. 135 al. 1 CPP). C’est ainsi une indemnité de 1'593 fr., TVA et débours inclus, qui doit être allouée à Me Gabrielle Weissbrodt pour l’exercice de son mandat. Une indemnité de défenseur d'office pour la procédure d'appel est allouée à Me Philippe Oguey, par 615 fr. 60, TVA et débours inclus. W.________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