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49 vom 10. Dezember 2013</w:t>
      </w:r>
    </w:p>
    <w:p>
      <w:r>
        <w:t>VD Tribunal cantonal, 2013-12-10, FR</w:t>
      </w:r>
    </w:p>
    <w:p>
      <w:r>
        <w:rPr>
          <w:b/>
        </w:rPr>
        <w:t xml:space="preserve">Quelle: </w:t>
      </w:r>
      <w:r>
        <w:t>https://mcp.opencaselaw.ch/entscheid/vd_findinfo_Jug___2014___49</w:t>
      </w:r>
    </w:p>
    <w:p>
      <w:r>
        <w:t>FR: VD_FINDINFO Jug / 2014 / 49 du 10 décembre 2013</w:t>
      </w:r>
    </w:p>
    <w:p>
      <w:r>
        <w:t>IT: VD_FINDINFO Jug / 2014 / 49 del 10 dicembre 2013</w:t>
      </w:r>
    </w:p>
    <w:p>
      <w:pPr>
        <w:pStyle w:val="Heading2"/>
      </w:pPr>
      <w:r>
        <w:t>Regeste</w:t>
      </w:r>
    </w:p>
    <w:p>
      <w:r>
        <w:t>MISE À BAN GÉNÉRALE, DÉNONCIATEUR, CONTRAVENTION, CONTRAVENTION DE POLICE DE DROIT CANTONAL | 13 LContr, 105 CPP (CH), 301 CPP (CH), 44 CDPJ, 30 LVCPP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Code de procédure pénale suisse du 5 octobre 2007, RS 312.0), l'appel de N.________ est recevable.</w:t>
      </w:r>
    </w:p>
    <w:p>
      <w:r>
        <w:rPr>
          <w:b/>
        </w:rPr>
        <w:t>E. 2</w:t>
      </w:r>
    </w:p>
    <w:p>
      <w:r>
        <w:t>a) L'appel concernant une contravention, la présente cause est de la compétence d'un membre de la cour d'appel statuant comme juge unique (art. 14 al. 3 LVCPP; Loi d'introduction du Code de procédure pénale suisse du 19 mai 2009, RSV 312.01). La procédure écrite est applicable, cet appel ne portant que sur des questions de droit (art. 406 al. 1 let. a CPP; Code de procédure pénale suisse du 5 octobre 2007; RS 312.0). b)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(CAPE 6 janvier 2014/23 c. 1b et les références citées).</w:t>
      </w:r>
    </w:p>
    <w:p>
      <w:r>
        <w:rPr>
          <w:b/>
        </w:rPr>
        <w:t>E. 3</w:t>
      </w:r>
    </w:p>
    <w:p>
      <w:r>
        <w:t>Le prévenu soutient que seul le propriétaire de l'immeuble mis à ban aurait qualité pour dénoncer l'infraction. Il observe que la doctrine, soit le CPC (Code de procédure civile suisse du 19 décembre 2008; RS 272) commenté ad. art. 258 CPC, évoque le propriétaire, le superficiaire, l'usufruitier ou le titulaire d'une servitude, mais non le locataire. L'appelant mélange la qualité pour demander une mise à ban et celle de dénonciateur. Il est logique que seul le propriétaire ou titulaire d'un autre droit réel puisse demander la mise à ban de celui-ci (art. 258 CPC). Une fois la mise à ban prononcée et affichée, la contravention est sanctionnée par l'autorité municipale conformément à l'art. 44 al. 3 CDJP (Code de droit privé judiciaire vaudois du 12 janvier 2010; RSV 211.01); elle se poursuit d'office ou sur dénonciation, sans qu'une plainte soit nécessaire (cf. art. 13 LContr; Loi vaudoise sur les contraventions du 19 mai 2009 [FAO 16 juin 2009], applicable par renvoi de l'art. 44 al. 3 in fine CDJP). Le Code de procédure pénale est applicable (art. 30 LVCPP). D'après l'art. 105 CPP, le dénonciateur est simplement celui qui signale une infraction, sans se porter partie plaignante ou civile. L'art. 301 CPP dispose que chacun peut dénoncer des infractions à l'autorité pénale. On ne voit donc pas de raison de dénier à qui que ce soit le droit de dénoncer les stationnements abusifs du prévenu.</w:t>
      </w:r>
    </w:p>
    <w:p>
      <w:r>
        <w:rPr>
          <w:b/>
        </w:rPr>
        <w:t>E. 4</w:t>
      </w:r>
    </w:p>
    <w:p>
      <w:r>
        <w:t>En définitive, l'appel de N.________, mal fondé, doit être rejeté aux frais de son auteur (art. 428 al. 1 CPP) et le jugement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