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48 vom 27. August 2014</w:t>
      </w:r>
    </w:p>
    <w:p>
      <w:r>
        <w:t>VD Tribunal cantonal, 2014-08-27, FR</w:t>
      </w:r>
    </w:p>
    <w:p>
      <w:r>
        <w:rPr>
          <w:b/>
        </w:rPr>
        <w:t xml:space="preserve">Quelle: </w:t>
      </w:r>
      <w:r>
        <w:t>https://mcp.opencaselaw.ch/entscheid/vd_findinfo_Jug___2014___48</w:t>
      </w:r>
    </w:p>
    <w:p>
      <w:r>
        <w:t>FR: VD_FINDINFO Jug / 2014 / 48 du 27 août 2014</w:t>
      </w:r>
    </w:p>
    <w:p>
      <w:r>
        <w:t>IT: VD_FINDINFO Jug / 2014 / 48 del 27 agosto 2014</w:t>
      </w:r>
    </w:p>
    <w:p>
      <w:pPr>
        <w:pStyle w:val="Heading2"/>
      </w:pPr>
      <w:r>
        <w:t>Regeste</w:t>
      </w:r>
    </w:p>
    <w:p>
      <w:r>
        <w:t>SOCIÉTÉ SIMPLE, INTERPRÉTATION{SENS GÉNÉRAL}, PRINCIPE DE LA CONFIANCE{INTERPRÉTATION DU CONTRAT} | 18 CO, 530 CO, 567 CPC, 596 al. 1 CPC, 596 CPC, 64 al. 2 CPC, 64 CPC</w:t>
      </w:r>
    </w:p>
    <w:p>
      <w:pPr>
        <w:pStyle w:val="Heading2"/>
      </w:pPr>
      <w:r>
        <w:t>Erwägungen</w:t>
      </w:r>
    </w:p>
    <w:p>
      <w:r>
        <w:rPr>
          <w:b/>
        </w:rPr>
        <w:t>E. 1</w:t>
      </w:r>
    </w:p>
    <w:p>
      <w:r>
        <w:t>CO). Si la volonté réelle des parties ne peut pas être établie ou si elle est divergente, le juge doit interpréter les déclarations et les comportements selon le principe de la confiance. Il recherchera comment ces déclarations et comportements pouvaient être compris de bonne foi en fonction de l'ensemble des circonstances. L’interprétation selon le principe de la confiance consiste à dégager le sens que le destinataire d’une déclaration peut et doit lui attribuer selon les règles de la bonne foi, d’après le texte et le contexte, ainsi que les circonstances qui l’ont précédées ou accompagnées (ATF 133 III 61; ATF 131 III 606; ATF 131 III 377, JT 2005 I 612). Même si la teneur d'une clause contractuelle paraît claire à première vue, il peut résulter d'autres conditions du contrat, du but poursuivi par les parties ou d'autres circonstances que le texte de ladite clause ne restitue pas exactement le sens de l'accord conclu. Il n'y a cependant pas lieu de s'écarter du sens littéral, lorsqu'il n'y a pas de raison sérieuse de penser qu'il ne correspond pas à la volonté des parties (ATF 130 III 47, rés. in JT 2004 I 268; ATF 129 III 118, rés. in JT 2003 I 144). Le moment décisif, pour l'interprétation selon le principe de la confiance, se situe lors de la conclusion du contrat. Les circonstances survenues postérieurement ne sont pas déterminantes et ne constituent qu'un indice de la volonté réelle des parties (ATF 107 II 417, JT 1982 I 167). b) La société simple est un contrat par lequel deux ou plusieurs personnes conviennent d'unir leurs efforts ou leurs ressources en vue d'atteindre un but commun (art. 530 al. 1 CO). Elle est qualifiée de simple lorsqu'elle n'offre pas les caractères distinctifs d'une des autres sociétés du Code des obligations (art. 530 al. 2 CO). La loi ne posant aucune exigence de forme pour la conclusion d'un tel contrat (art. 11 al. 1 CO), il peut être passé par actes concluants, même à l'insu des cocontractants (ATF 124 III 363 c. 2a, JT 1999 I 402; Tercier/Favre, Les contrats spéciaux,</w:t>
      </w:r>
    </w:p>
    <w:p>
      <w:r>
        <w:rPr>
          <w:b/>
        </w:rPr>
        <w:t>E. 4</w:t>
      </w:r>
    </w:p>
    <w:p>
      <w:r>
        <w:t>ème éd, n. 7529, p. 1129; Chaix, Commentaire romand, n. 3 ad art. 530 CO; Recordon, La société simple I, La notion de société et les caractéristiques de la société simple, in FJS 676 [cité ci-après : Recordon, La société simple I], pp. 9 et 30 ). Dans ce dernier cas, fréquent en matière de société simple, c'est le comportement des parties qui manifeste leur commune intention d'unir leurs efforts ou leurs ressources en vue d'atteindre un but commun (ATF 81 II 577 c. 2, JT 1956 I 455; Recordon, ibidem). La poursuite d'un but commun constitue un élément objectivement essentiel du contrat. Commun à tous les associés, il doit faire l'objet d'une volonté de chacun de coopérer à sa réalisation : il s'agit de l'animus societatis (Chaix, op .cit., nn. 6 s. ad art. 530 CO; Recordon, La société simple I, op. cit., p. 20). Ce but commun, qui se limite à l'usage à des fins déterminées des efforts et des ressources réunis par les associés, s'accommode fort bien de motivations individuelles qui peuvent être différentes (Recordon, La société simple I, op. cit., p. 20). Ce but peut notamment être économique, soit viser à procurer à ses membres un avantage appréciable en argent. Il peut également être occasionnel; dans ce cas, il a pour but la réalisation d'une opération déterminée, voire d'un acte isolé (Recordon, La société simple I, op. cit., p. 21; Chaix, op. cit., nn. 6 et 17 s. ad art. 530 CO). Le but social joue notamment un rôle en relation avec la fin de la société. Celle-ci doit en effet disparaître lorsque le but social ne peut plus être poursuivi, notamment parce qu'il a été atteint (Recordon, La société simple I, op. cit., p. 22; Chaix, op. cit., n. 6 ad art. 530 CO). La société dissoute conserve alors un but social, lequel vise uniquement à la liquidation (Chaix, ibidem). L'obligation d'un apport constitue également un élément objectivement essentiel de la société simple (Chaix, op. cit., n. 5 ad art. 530 CO et n. 2 ad art. 531 CO; Recordon, La société simple I, op. cit., p. 18). L'art. 531 al. 1 CO dispose que chaque associé doit faire un apport, qui peut consister en argent, en créances, en d'autres biens ou en industrie. L'apport en industrie consiste en une prestation personnelle sous forme de travail ou, plus largement, d'une activité (Recordon, La société simple I, op. cit., p. 17; Chaix, op. cit., n. 5 ad art. 531 CO). C'est souvent le cas lorsqu'un associé s'engage à travailler de façon durable pour la société, sans salaire mais moyennant une participation au résultat de la poursuite du but commun (Recordon, ibidem). Un tel apport est fréquent dans les sociétés qui reposent sur l'activité et les qualifications professionnelles des associés ou de l'un d'entre eux (cf. SJ 1977 p. 369 c. I; Recordon, ibidem). En vertu de l'art. 544 al. 1 CO, les choses, créances et droits réels transférés ou acquis à la société appartiennent en commun aux associés dans les termes du contrat de société. La société simple est ainsi la relation typique à la base de tout régime de propriété commune. On se trouve en particulier en présence d'une telle société lorsque deux ou plusieurs personnes décident d'acquérir un objet en commun, d'acheter, de transformer ou de construire ensemble un immeuble (ATF 124 III 355, JT 1999 I 394; ATF 110 II 287 c. 2a, JT 1985 I 146; Tercier/Favre, op. cit., n. 7487, p. 1123). La règle de l'art. 544 al. 1 CO est toutefois de droit dispositif: le contrat de société peut régler d'une autre manière le régime de la propriété des biens mis en commun, en particulier en choisissant la copropriété des art. 646 ss CC (Recordon, La société simple II, Les rapports des associés entre eux et avec les tiers, in FJS 677 [cité ci-après : La société simple II], p. 72; Chaix, op. cit., nn. 2 et 4 ad art. 544 CO). Sauf convention contraire, chaque associé a une part égale dans les bénéfices et dans les pertes, quelles que soient la nature et la valeur de son apport (art. 533 al. 1 CO). Si la convention ne fixe que la part dans les bénéfices ou la part dans les pertes, cette détermination est réputée faite pour les deux cas (art. 533 al. 2 CO). Il est toutefois permis de stipuler qu’un associé qui apporte son industrie est dispensé de contribuer aux pertes, tout en prenant une part dans les bénéfices (art. 533 al. 3 CO). c) En l’espèce, selon le texte de la convention précitée, dont le titre « convention de collaboration » n’est pas déterminant et dont la validité n'a pas été remise en cause par les parties, celles-ci ont développé un centre de procréaction médicalement assistée sur les sites de l’avenue [...] et de la rue [...]. La convention prévoit des apports de la part de chacune des parties et elle détaille leur participation au financement du CPMA. S’il était prévu que la défenderesse rétrocède au CHUV l’ensemble des produits découlant de l’activité du CPMA ainsi que les honoraires médicaux, et qu’elle ne percevait pas de rétrocession sur le chiffre d’affaire du CPMA, le CHUV devait financer les salaires des équipes médicales, médico-technique, infirmière et administrative déléguée, counsellors, les investissements en équipement, en matériel, ainsi que les investissements nécessaires à la couverture des frais administratifs. En revanche, la défenderesse devait prendre à sa charge les travaux de transformation du bâtiment sis à l’avenue [...] – parties ayant admis que lorsqu’il est fait état des travaux de transformation du « bâtiment principal » au chiffre 7 de la convention, il s’agit du bâtiment sis avenue [...] – et le CHUV ceux du bâtiment sis à la rue [...]. Les parties s’accordent avec cette lecture de l’accord du 22 septembre 1999. La collaboration entre les parties s’est déroulée et celles-ci ont été rémunérées conformément aux termes de la convention, c’est-à-dire que la défenderesse n’a obtenu aucune participation directe au chiffre d’affaires du CPMA et le demandeur a obtenu l’entier du chiffre d’affaires réalisé. La défenderesse a transféré l’intégralité des produits et facturé ses charges directes (loyer, frais administratifs et frais d’exploitation), sur la base de tarifs déterminés au préalable par la convention. Cela a été confirmé par l’expert, selon lequel les revenus indiqués sur les décomptes trimestriels ont été versés par la défenderesse et encaissés par le CHUV dès que les résultats sont devenus positifs, sans entrer dans un compte commun aux parties. Si, dans les faits, le CPMA a fonctionné comme un service du CHUV, plus particulièrement du département de gynécologie-obstétrique, avec une équipe médicale se composant essentiellement de salariés du CHUV, avec un médecin-chef contractuellement lié au demandeur, et que seul le CHUV gérait l’ensemble des flux financiers et les risques financiers, il apparaît, à la lecture de la convention et compte tenu des circonstances d’exécution du contrat, que les parties sont convenues, le 22 septembre 1999, d’unir leurs efforts et leurs ressources en vue de leur but commun, soit la création et le fonctionnement du CPMA, en constituant à cet effet une société simple au sens des art. 530 ss CO. Elles ont toutes deux oeuvré à la réalisation de ce but commun et ont chacune fait un apport dans la société. Toutefois, il apparaît que les parties ont largement dérogé, dans le contrat, aux règles ordinaires de la société simple (les bénéfices allaient au demandeur, les charges n’étaient pas assumées à parts égales, etc). Si les parties ne contestent pas la répartition de prise en charge des travaux de transformation des bâtiments de l’avenue [...] et de la rue [...], elles ne s’accordent pas en revanche sur la prise en charge des travaux relatifs à l’immeuble sis à l’avenue [...] qui n’étaient pas envisagés par la convention de 1999 et qui se sont avérés nécessaires au vu de la progression du nombre de cas traités au CPMA, de l’amélioration des conditions de travail et des transformations dans la clinique défenderesse. S’agissant du contrat de bail alors signé par la défenderesse pour les locaux dont est litige, il ressort dudit document que le bail serait à l’usage du CPMA, sous-locataire. S’agissant des travaux nécessaires au transfert du CPMA à l’avenue [...], le CHUV a, par courrier du 10 janvier 2003, mentionné qu’ils seraient à la charge du CPMA. Par ailleurs, le maître d’œuvre était le CHUV, les travaux ont été approuvés par le CHUV et leur gestion a été déléguée au Pr F.________ qui était habilité, au nom du CHUV, à signer les documents y afférents. La défenderesse a suivi les travaux, géré les aspects comptables des travaux et réglé les factures avec l’argent du CHUV transféré à cet effet, soit un montant total de 649'984 fr. 55, tout comme elle a suivi le déroulement des travaux à la rue [...] qu’elle a réglés avec l’argent du CHUV également. La défenderesse ne conteste pas le fait que ces travaux ont été entièrement payés par le demandeur, ni qu’ils l’ont été à hauteur de 649'984 fr. 55. Or, le demandeur prétend au paiement des frais qu’il a déboursés pour ces travaux effectués à l’avenue [...] à hauteur de 649'984 fr. 55. Aucun document relatif au remboursement total ou partiel ultérieur avec les modalités que cela comporte, ni aucune demande de participation adressée à la défenderesse, n’est allégué ni établi. En outre, si le financement des salaires, de l’équipement, du matériel et des travaux des immeubles sis à l’avenue [...] et à la rue [...] a été prévu dans la convention du 22 septembre 1999, cela n’a pas été le cas de la répartition de cet investissement qui n’a pas été expressément prévu. Il convient toutefois de comprendre qu’il était implicitement convenu qu’il serait à la charge du demandeur. En effet, il apparaît que, dès le début des discussions entre les parties, il était convenu expressément entre elles que le coût des travaux de transformation serait entièrement supporté par le CPMA, qu’ils seraient plus précisément à la charge du département d’obstétrique, au vu de l’urgence des travaux et des ressources à disposition. Les frais relatifs aux travaux litigieux devaient donc être supportés par le demandeur et il ne peut dès lors se prévaloir d’aucune créance à l’encontre de la défenderesse sur la base du contenu du contrat de société simple. Il convient au surplus de remarquer que si la question du paiement des frais relatifs aux travaux concernés se posait dans le cadre des opérations de liquidation de la société simple, elle ne pourrait pas être résolue ici, dès lors que l'ensemble de ces opérations, qui comprend la liquidation externe destinée à mettre fin aux rapports avec les tiers, et la liquidation interne consistant à dénouer les rapports entre les associés (Recordon, [cité ci-après : La société simple III], op. cit., p. 33), est dominé par le principe de l'unité de la liquidation. Les rapports juridiques et comptables liés à la société doivent donc être réglés dans le cadre d'un même processus. Les associés ne peuvent ainsi faire valoir séparément les uns contre les autres les prétentions en réparation du dommage fondées sur l'art. 538 CO ou les demandes de remboursement visées à l'art. 537 al. 1 CO (Recordon, [cité ci-après : La société simple III], op. cit., p. 33). On ne saurait ainsi restreindre la liquidation au règlement de quelques rapports juridiques particuliers (ATF 116 II 316, JT 1991 I 54; ATF 93 II 387, JT 1969 I 226). Or rien n’a été allégué ni établi à ce sujet. En définitive, au vu de ce qui précède, les prétentions du demandeur sont rejetées. VI.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Lorsque aucune des parties n'obtient entièrement gain de cause, le juge peut réduire les dépens ou les compenser (art. 92 al. 2 CPC-VD). b) En l’espèce, obtenant entièrement gain de cause, la défenderesse a droit à de pleins dépens, à la charge du demandeur, qu'il convient d'arrêter à 50'974 fr. 90, savoir : a) 25’000 fr. à titre de participation aux honoraires de son conseil; b) 1’250 fr. pour les débours de celui‑ci; c) 24’724 fr. 90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