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46 vom 3. September 2013</w:t>
      </w:r>
    </w:p>
    <w:p>
      <w:r>
        <w:t>VD Tribunal cantonal, 2013-09-03, FR</w:t>
      </w:r>
    </w:p>
    <w:p>
      <w:r>
        <w:rPr>
          <w:b/>
        </w:rPr>
        <w:t xml:space="preserve">Quelle: </w:t>
      </w:r>
      <w:r>
        <w:t>https://mcp.opencaselaw.ch/entscheid/vd_findinfo_Jug___2014___46</w:t>
      </w:r>
    </w:p>
    <w:p>
      <w:r>
        <w:t>FR: VD_FINDINFO Jug / 2014 / 46 du 3 septembre 2013</w:t>
      </w:r>
    </w:p>
    <w:p>
      <w:r>
        <w:t>IT: VD_FINDINFO Jug / 2014 / 46 del 3 settembre 2013</w:t>
      </w:r>
    </w:p>
    <w:p>
      <w:pPr>
        <w:pStyle w:val="Heading2"/>
      </w:pPr>
      <w:r>
        <w:t>Regeste</w:t>
      </w:r>
    </w:p>
    <w:p>
      <w:r>
        <w:t>LOI FÉDÉRALE SUR LES STUPÉFIANTS ET LES SUBSTANCES PSYCHOTROPES, LOI FÉDÉRALE SUR LES ÉTRANGERS | 40 CP, 47 CP, 49 al. 1 CP, 51 CP, 69 CP, 70 CP, 19 LStup, 115 al. 1 let. b LEtr, 115 LEtr</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L’appel joint doit, quant à lui, être interjeté dans un délai de vingt jours dès la réception de la déclaration d’appel (art. 400 al. 3 CPP). Interjeté dans les forme et délai légaux par une partie ayant qualité pour recourir contre le jugement du tribunal de première instance qui a clos la procédure (art. 398 al. 1 CPP), l’appel de X.________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Appel joint du Ministère public :</w:t>
      </w:r>
    </w:p>
    <w:p>
      <w:r>
        <w:rPr>
          <w:b/>
        </w:rPr>
        <w:t>E. 3</w:t>
      </w:r>
    </w:p>
    <w:p>
      <w:r>
        <w:t>. Le Ministère public soutient que X.________ devrait être condamné pour recel. 3.1.1 Selon l’art. 160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(1 ère phrase). Si l’infraction préalable est poursuivie sur plainte, le recel ne sera poursuivi que si cette plainte a été déposée (3 ème phrase). 3.1.2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w:t>
      </w:r>
    </w:p>
    <w:p>
      <w:r>
        <w:rPr>
          <w:b/>
        </w:rPr>
        <w:t>E. 3.2</w:t>
      </w:r>
    </w:p>
    <w:p>
      <w:r>
        <w:t>En l'espèce, l'IPad a été volé le 19 juillet 2012, dans la voiture de Z.________ qui a déposé plainte. On ignore tout des caractéristiques de cette tablette et notamment de sa capacité, donc de son prix. L’objet a été retrouvé au domicile du prévenu et restitué à son propriétaire. Le prévenu a donné plusieurs versions des faits. Il a prétendu avoir acheté cette tablette 300 fr. auprès d’un arabe dans la rue en ne sachant pas qu’elle avait été volée (PV aud. 1 p. 2), puis à un arabe séjournant dans le même centre EVAM (Etablissement Vaudois d'Accueil aux Migrants) que lui en n'ayant pas cherché à savoir où le vendeur avait acquis l’lPad, pensant qu’il l’avait peut être volé mais ne le sachant pas (PV d’aud. 23 p. 2). Aux débats de première instance, le prévenu a répété avoir acquis cet ordinateur 300 fr. à un vendeur qui ne lui avait pas dit qu'il avait été volé, qu'il ignorait ce fait au moment de l'achat, mais l'avait pensé lorsqu'il avait découvert les applications déjà installées dans l'appareil (jugement p. 4). Devant cour de céans, il n'a pas été en mesure de se déterminer sur la puissance de l'IPad.</w:t>
      </w:r>
    </w:p>
    <w:p>
      <w:r>
        <w:rPr>
          <w:b/>
        </w:rPr>
        <w:t>E. 3.3</w:t>
      </w:r>
    </w:p>
    <w:p>
      <w:r>
        <w:t>Il convient donc d'admettre que X.________ a acheté un lpad d’occasion pour 300 fr. Compte tenu des circonstances dans lesquelles il l’a acquis, soit dans la rue, soit auprès d’un requérant d’asile débouté dans un centre EVAM, il aurait pu peut-être se douter de l’origine délictueuse de cet objet. Toutefois, le prix d'achat de 300 fr. est assez élevé pour un appareil d’occasion si l'on retient, comme en convient le Ministère public qu'un appareil neuf coûte 432 fr. selon le site Internet officiel d’Apple. Compte tenu de cet élément, il y a lieu, au bénéfice du doute, de suivre les premiers juges et d'admettre que X.________ ne pouvait, en raison du prix, en soupçonner suffisamment la provenance douteuse. C'est dès lors à bon droit que le prévenu a été libéré du chef d'accusation de recel.</w:t>
      </w:r>
    </w:p>
    <w:p>
      <w:r>
        <w:rPr>
          <w:b/>
        </w:rPr>
        <w:t>E. 3.4</w:t>
      </w:r>
    </w:p>
    <w:p>
      <w:r>
        <w:t>En définitive, l'appel joint du Ministère public apparaît donc mal fondé et doit être rejeté. Appel de X.________</w:t>
      </w:r>
    </w:p>
    <w:p>
      <w:r>
        <w:rPr>
          <w:b/>
        </w:rPr>
        <w:t>E. 4</w:t>
      </w:r>
    </w:p>
    <w:p>
      <w:r>
        <w:t>Condamné à une peine privative de liberté de quatre ans, le prévenu critique la sévérité de sa peine, en comparaison avec d’autres affaires.</w:t>
      </w:r>
    </w:p>
    <w:p>
      <w:r>
        <w:rPr>
          <w:b/>
        </w:rPr>
        <w:t>E. 4.1</w:t>
      </w:r>
    </w:p>
    <w:p>
      <w:r>
        <w:t>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(ATF 120 IV 136 c. 3a p. 144; ATF 116 IV 292). lI ne suffit notamment pas que le recourant puisse citer l’un ou l’autre précédent où une peine particulièrement clémente a été fixée pour prétendre à un droit à l’égalité de traitement (ATF 120 IV 136 c. 3a p. 144, op. cit. et les arrêts cités). Le principe de la légalité prime du reste sur celui de l’égalité (ATF 124 IV 44, c. 2c p. 47; TF 6B_279/2011 du 20 juin 2011 c. 3.3.1). La référence à deux affaires récentes est donc vaine. Il convient ainsi de se référer aux principes généraux fixant la fixation de la peine et à la jurisprudence fédérale applicable en matière de stupéfiants.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ATF 136 IV 55). Dans le domaine spécifique des infractions à la LStup, le Tribunal fédéral a, en outre, dégagé les principes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6B_921/2010 du 25 janvier 2011; TF 6S.21/2002 du 14 avril 2002 ;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du 4 août 2008 c. 6.1.2; ATF 121 IV 202, précité, c. 2d/aa; ATF 118 IV 342 c. 2d).</w:t>
      </w:r>
    </w:p>
    <w:p>
      <w:r>
        <w:rPr>
          <w:b/>
        </w:rPr>
        <w:t>E. 4.3</w:t>
      </w:r>
    </w:p>
    <w:p>
      <w:r>
        <w:t>En l'espèce, X.________ doit être condamné pour séjour illégal pour la période d’août 2012 au 13 décembre 2012, et pour infraction simple et grave à la LStup, soit pour avoir vendu entre 180 et 194 grammes de marijuana, ainsi que 54, 75 grammes de cocaïne pure. Au regard de la quantité de drogue écoulée, le cas grave est réalisé. A la charge de X.________, on retient en outre que son trafic de cocaïne s'est déroulé sur près d'une année, qu'il était très intense au cours des six mois précédant son arrestation (PV aud. 15 p. 2) et que seule celle-ci a mis fin à son activité délictueuse. Le trafic de X.________ s’est révélé d’une efficacité certaine. Même s’il a pratiqué de la vente directe de boulettes, l'intéressé n'est à l’évidence pas un simple trafiquant de rue, puisque lors de son interpellation il a été trouvé en possession de 27,375 grammes de cocaïne pure. Le prévenu a su conditionner et vendre la drogue déposée chez son ami. A l'évidence, il a mis la drogue sur le marché au mépris total de la santé des consommateurs, qu'il présente dans son appel comme des adultes majeurs et responsables, rejetant la responsabilité de son trafic sur ceux-ci. X.________ a agi par appât du gain. En effet et bien qu'il s'en défende, le trafic du prévenu, qui bénéficiait de l'aide d'urgence sous forme de nourriture, d'un toit et de soins médicaux de base, ne servait pas à satisfaire ses besoins élémentaires. Il n'a d'ailleurs pas prétendu envoyer de l'argent à des proches. X.________ invoque également à tort sa bonne collaboration avec la justice : il n’a reconnu les quantités de stupéfiants vendues que lorsqu’elles étaient attestées par onze mises en cause, il n'a admis les quantités constatées dans le rapport final qu'après avoir pris connaissance du procès-verbal d’audition de [...]PV aud. 22 et P. 26) et il n'a reconnu la durée réelle de son trafic qu'après avoir été longuement interrogé par l'autorité de céans. A charge enfin, on relève que X.________ n’est pas consommateur, que s'il n'a pas de lourds antécédents, il a déjà fait l'objet d'une précédente condamnation pour infraction à la Loi fédérale sur les stupéfiants, qu'outre la cocaïne, il a vendu entre 180 à 194 grammes de marijuana et que ces infractions à la LStup sont en concours avec le séjour illégal. A la décharge de X.________, on retiendra qu’il s’agit d’un jeune homme sans formation et sans appui en Suisse, ainsi que son bon comportement en détention. La peine de 4 ans prononcée par les premiers juges paraît trop sévère compte tenu de ces éléments à charge et à décharge. Une peine privative de liberté de trois ans – sous déduction de la détention subie depuis le jugement de première instance – s'avère adéquate. Cette quotité correspond d'ailleurs à celle qu'avait requise par le Parquet en première instance. Le jugement attaqué doit donc être réformé dans ce sens.</w:t>
      </w:r>
    </w:p>
    <w:p>
      <w:r>
        <w:rPr>
          <w:b/>
        </w:rPr>
        <w:t>E. 4.4</w:t>
      </w:r>
    </w:p>
    <w:p>
      <w:r>
        <w:t>L'appelant fait valoir que le sursis partiel devrait lui être octroyé. Il soutient que son bon comportement en prison, la prise de conscience provoquée par l'exécution partielle de la peine, et son projet de quitter la Suisse dès sa sortie de prison, permettraient d'exclure tout risque de récidive.</w:t>
      </w:r>
    </w:p>
    <w:p>
      <w:r>
        <w:rPr>
          <w:b/>
        </w:rPr>
        <w:t>E. 4.4.1</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4.4.2</w:t>
      </w:r>
    </w:p>
    <w:p>
      <w:r>
        <w:t>En l’espèce, le pronostic ne peut être qu’entièrement défavorable. La faute est très lourde. Certes, l’appelant se comporte bien en détention, il est respectueux et travailleur, et il s’agit de sa première incarcération. Mais rien n’indique qu’il a pris conscience de la gravité de ses actes. Il prétend, même en appel, que s’il s’est livré au trafic c’est pour répondre à la demande des consommateurs et en raison de sa situation financière précaire. Il conteste en outre avoir mis la santé de nombreuses personnes en danger. Il n’a avoué que confronté à des mises en cause, minimisant la gravité de ses actes. Au vu de ces éléments, les conditions pour l'octroi d'un sursis partiel ne sont pas réunies.</w:t>
      </w:r>
    </w:p>
    <w:p>
      <w:r>
        <w:rPr>
          <w:b/>
        </w:rPr>
        <w:t>E. 4.5</w:t>
      </w:r>
    </w:p>
    <w:p>
      <w:r>
        <w:t>En définitive, l'appel de X.________ doit être partiellement admis dans le sens des considérants.</w:t>
      </w:r>
    </w:p>
    <w:p>
      <w:r>
        <w:rPr>
          <w:b/>
        </w:rPr>
        <w:t>E. 5</w:t>
      </w:r>
    </w:p>
    <w:p>
      <w:r>
        <w:t>En l'absence d'une réelle prise de conscience, un risque de récidive est bien réel. Il existe en outre un risque de fuite dès lors que le prévenu n'aucune attache avec la Suisse. Le maintien en détention de X.________ doit donc être ordonné.</w:t>
      </w:r>
    </w:p>
    <w:p>
      <w:r>
        <w:rPr>
          <w:b/>
        </w:rPr>
        <w:t>E. 6.1</w:t>
      </w:r>
    </w:p>
    <w:p>
      <w:r>
        <w:t>Compte tenu de l'ampleur de la présente procédure et de la connaissance du dossier déjà acquise en première instance, une indemnité de défenseur d'office pour la procédure d'appel d'un montant de 1'868 fr. 40, débours et TVA inclus, est allouée à Me Christian Giauque. Elle correspond à 15 heures à 110 fr., plus 80 fr. de débours et 8 % de TVA.</w:t>
      </w:r>
    </w:p>
    <w:p>
      <w:r>
        <w:rPr>
          <w:b/>
        </w:rPr>
        <w:t>E. 6.2</w:t>
      </w:r>
    </w:p>
    <w:p>
      <w:r>
        <w:t>Vu le sort de l'appel, les frais de seconde instance, y compris l'indemnité allouée au défenseur d'office ci-dessus, sont mis par moitié à la charge de X.________ (art. 428 al. 1 CPP) et par moitié à la charge de l'Etat. X.________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