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407 vom 29. Dezember 2014</w:t>
      </w:r>
    </w:p>
    <w:p>
      <w:r>
        <w:t>VD Tribunal cantonal, 2014-12-29, FR</w:t>
      </w:r>
    </w:p>
    <w:p>
      <w:r>
        <w:rPr>
          <w:b/>
        </w:rPr>
        <w:t xml:space="preserve">Quelle: </w:t>
      </w:r>
      <w:r>
        <w:t>https://mcp.opencaselaw.ch/entscheid/vd_findinfo_Jug___2014___407</w:t>
      </w:r>
    </w:p>
    <w:p>
      <w:r>
        <w:t>FR: VD_FINDINFO Jug / 2014 / 407 du 29 décembre 2014</w:t>
      </w:r>
    </w:p>
    <w:p>
      <w:r>
        <w:t>IT: VD_FINDINFO Jug / 2014 / 407 del 29 dicembre 2014</w:t>
      </w:r>
    </w:p>
    <w:p>
      <w:pPr>
        <w:pStyle w:val="Heading2"/>
      </w:pPr>
      <w:r>
        <w:t>Regeste</w:t>
      </w:r>
    </w:p>
    <w:p>
      <w:r>
        <w:t>DÉTENTION PROVISOIRE | 221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en temps utile devant l’autorité compétente et satisfaisant aux conditions de forme posées par l’art. 385 al. 1 CPP, le recours est recevable (CREP 19 décembre 2014/909 c. 1).</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w:t>
      </w:r>
    </w:p>
    <w:p>
      <w:r>
        <w:rPr>
          <w:b/>
        </w:rPr>
        <w:t>E. 2.2</w:t>
      </w:r>
    </w:p>
    <w:p>
      <w:r>
        <w:t>In casu , R.________ a reconnu, devant la police puis devant le Ministère public, avoir asséné à sa fillette [...], des claques assez fortes, l'avoir secouée, lui avoir donné un coup de poing au niveau du sternum, ainsi que des fessées. Il a aussi admis qu'il devait apprendre à canaliser sa violence. A cet égard, outre les déclarations de sa coprévenue G.________, les constatations médicales relatées par le procureur dans son courrier du 9 décembre 2014 sont éloquentes. Il existe donc contre le recourant des présomptions suffisantes de culpabilité au sens de l'art. 221 al. 1 CPP.</w:t>
      </w:r>
    </w:p>
    <w:p>
      <w:r>
        <w:rPr>
          <w:b/>
        </w:rPr>
        <w:t>E. 3.1</w:t>
      </w:r>
    </w:p>
    <w:p>
      <w:r>
        <w:t>L'ordonnance attaquée retient un risque de collusion. D'après la jurisprudence,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 (art. 221 al. 1 let. b CPP).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 4.2 p. 127 s.; ATF 132 I 21 c 3.2 p. 23 et les références).</w:t>
      </w:r>
    </w:p>
    <w:p>
      <w:r>
        <w:rPr>
          <w:b/>
        </w:rPr>
        <w:t>E. 3.2</w:t>
      </w:r>
    </w:p>
    <w:p>
      <w:r>
        <w:t>R.________ a nié l'existence d'un risque de collusion, arguant en bref qu'il aurait tout avoué dès les prémices de l'enquête et qu'en tout état de cause, l'ordonnance entreprise ne démontrerait pas en quoi sa libération compromettrait la recherche de la vérité (mémoire pp. 5 et 6). S'il est vrai que le recourant a admis certains comportements violents, ses agissements envers la fillette ne sont pas encore complètement clarifiés, certaines blessures de l'enfant étant toujours inexpliquées, la version des faits du prévenu ne concordant pas avec celle d'G.________ et celui-ci ayant varié dans ses déclaration tantôt pour épargner la mère de l'enfant, tantôt pour l'accabler. C'est surtout au vu de ce dernier élément qu'un risque de collusion est manifeste. On relève, au surplus, que c'est en accord avec le recourant qu'G.________ avait prétexté un accident à l'origine d'une blessure à la tête de l'enfant. Ainsi, tant que le procureur n'aura pas tiré au clair les propos de chacun et la réalité des faits, les prévenus pourraient l'un et l'autre compromettre la recherche de la vérité s'ils étaient libérés et pouvaient communiquer. Ce motif suffit à justifier la détention.</w:t>
      </w:r>
    </w:p>
    <w:p>
      <w:r>
        <w:rPr>
          <w:b/>
        </w:rPr>
        <w:t>E. 4.1</w:t>
      </w:r>
    </w:p>
    <w:p>
      <w:r>
        <w:t>L'ordonnance entreprise retient également un risque de récidive que le recourant conteste également en soutenant  qu'il n'a pas d'antécédent de violence et que la victime a déjà été mise au bénéfice d'une mesure d'éloignement.</w:t>
      </w:r>
    </w:p>
    <w:p>
      <w:r>
        <w:rPr>
          <w:b/>
        </w:rPr>
        <w:t>E. 4.2</w:t>
      </w:r>
    </w:p>
    <w:p>
      <w:r>
        <w:t>La détention de R.________ étant déjà justifiée pour le motif exposé ci-dessus (cf. supra c. 3. 2), il n'est pas nécessaire d'examiner en détail ce point. On soulignera toutefois que le recourant a proféré des menaces à l'encontre de sa coprévenue et que d'après les éléments au dossier, il aurait violenté une fillette de quelques mois jusqu'à la mettre en danger de mort. Un tel comportement nécessite de s'assurer, sous l'angle psychiatrique, que l'intéressé ne risque pas de s'en prendre à nouveau à des personnes avec violence s'il était libéré. Cela ne peut pas être exclu à ce jour, en l'absence d'un cadre thérapeutique. Le risque de réitération est donc également réalisé.</w:t>
      </w:r>
    </w:p>
    <w:p>
      <w:r>
        <w:rPr>
          <w:b/>
        </w:rPr>
        <w:t>E. 5.1</w:t>
      </w:r>
    </w:p>
    <w:p>
      <w:r>
        <w:t>D'après la jurisprudence,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5.2</w:t>
      </w:r>
    </w:p>
    <w:p>
      <w:r>
        <w:t>En l'espèce, R.________ étant incarcéré depuis le 8 décembre 2014, sa détention est, contrairement à ce qu'il prétend, proportionnée tant au regard des mesures d'instruction devant encore être mises en oeuvre, qu'au vu de la peine encourue. Aucune mesure de substitution n'est en outre propre à contenir les risques retenus.</w:t>
      </w:r>
    </w:p>
    <w:p>
      <w:r>
        <w:rPr>
          <w:b/>
        </w:rPr>
        <w:t>E. 6</w:t>
      </w:r>
    </w:p>
    <w:p>
      <w:r>
        <w:t>Il résulte de ce qui précède que le recours, manifestement mal fondé, doit être rejeté sans autre échange d'écritures et l'ordonnance entreprise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540 fr., plus la TVA par 43 fr. 20, soit 583 fr. 20 fr. au total, seront mis à la charge du recourant, qui succombe (art. 428 al. 1 CPP). Le remboursement à l’Etat de l’indemnité allouée au défenseur d’office de R.________ ne sera toutefois exigible que pour autant que la situation économique de ce dernier se soit améliorée (art. 135 al. 4 CPP). Par ces motifs, la Chambre des recours pénale prononce : I. Le recours est rejeté. II. L'ordonnance du 10 décembre 2014 est confirmée. III. L'indemnité allouée au défenseur d'office de R.________ est fixée à 583 fr. 20 (cinq cent huitante-trois francs et vingt centimes). IV. Les frais d’arrêt, par 660 fr. (six cent soixante francs), ainsi que l’indemnité due au défenseur d’office de R.________, par 583 fr. 20 (cinq cent huitante-trois francs et vingt centimes), sont mis à la charge de ce dernier. V. Le remboursement à l'Etat de l'indemnité allouée au chiffre III ci-dessus ne sera exigible que pour autant que la situation économique deR.________ se soit améliorée. VI . Le présent arrêt est exécutoire. Le président :               La greffière : Du Le présent arrêt, dont la rédaction a été approuvée à huis clos, est notifié, par l'envoi d'une copie complète, à : - M. Nicolas Blanc, avocat (pour R.________ - Ministère public central, et communiqué à : - M. le Président du Tribunal des mesures de contrainte, - M. le Procureur itinérant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