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406 vom 19. Dezember 2014</w:t>
      </w:r>
    </w:p>
    <w:p>
      <w:r>
        <w:t>VD Tribunal cantonal, 2014-12-19, FR</w:t>
      </w:r>
    </w:p>
    <w:p>
      <w:r>
        <w:rPr>
          <w:b/>
        </w:rPr>
        <w:t xml:space="preserve">Quelle: </w:t>
      </w:r>
      <w:r>
        <w:t>https://mcp.opencaselaw.ch/entscheid/vd_findinfo_Jug___2014___406</w:t>
      </w:r>
    </w:p>
    <w:p>
      <w:r>
        <w:t>FR: VD_FINDINFO Jug / 2014 / 406 du 19 décembre 2014</w:t>
      </w:r>
    </w:p>
    <w:p>
      <w:r>
        <w:t>IT: VD_FINDINFO Jug / 2014 / 406 del 19 dicembre 2014</w:t>
      </w:r>
    </w:p>
    <w:p>
      <w:pPr>
        <w:pStyle w:val="Heading2"/>
      </w:pPr>
      <w:r>
        <w:t>Regeste</w:t>
      </w:r>
    </w:p>
    <w:p>
      <w:r>
        <w:t>DÉTENTION PROVISOIRE | 221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en temps utile devant l’autorité compétente et satisfaisant aux conditions de forme posées par l’art. 385 al. 1 CPP, le recours est recevable (CREP 24 novembre 2014/840 c. 1).</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w:t>
      </w:r>
    </w:p>
    <w:p>
      <w:r>
        <w:rPr>
          <w:b/>
        </w:rPr>
        <w:t>E. 2.2</w:t>
      </w:r>
    </w:p>
    <w:p>
      <w:r>
        <w:t>Entendue par le procureur le 8 décembre 2014, Q.________, qui avait varié dans ses déclarations, a fini par reconnaître avoir violenté sa fillette en lui donnant des claques sur la tête, en la frappant au niveau du front avec le biberon et en la serrant par le cou. L'intéressée est également mise en cause par le contenu d'un message qu'elle a adressé à son compagnon, Z.________, via (…) en ces termes : "elle fait chier pour le biberon" "prends la elle casse les couilles" "aller sinon je la tue". Pour le surplus, les constatations médicales rapportées ci-dessus sont suffisamment éloquentes. Il existe donc contre la recourante des présomptions suffisantes de culpabilité au sens de l'art. 221 al. 1 CPP.</w:t>
      </w:r>
    </w:p>
    <w:p>
      <w:r>
        <w:rPr>
          <w:b/>
        </w:rPr>
        <w:t>E. 3.1</w:t>
      </w:r>
    </w:p>
    <w:p>
      <w:r>
        <w:t>L'ordonnance attaquée retient un risque de collusion. D'après la jurisprudence,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 (art. 221 al. 1 let. b CPP).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 4.2 p. 127 s.; ATF 132 I 21 c 3.2 p. 23 et les références).</w:t>
      </w:r>
    </w:p>
    <w:p>
      <w:r>
        <w:rPr>
          <w:b/>
        </w:rPr>
        <w:t>E. 3.2</w:t>
      </w:r>
    </w:p>
    <w:p>
      <w:r>
        <w:t>A ce jour, l'enquête débute et les agissements d'Q.________ à l'égard de son enfant ne sont pas encore clarifiés, bien qu'elle ait admis certains de ses comportements, tout en paraissant minimiser ceux de Z.________. C'est également d'entente avec ce dernier qu'elle a prétexté un accident à l'origine d'une blessure à la tête de l'enfant. Il est ainsi manifeste que l'intéressée ne s'est pas totalement expliquée sur son comportement et il est impératif de l'empêcher de communiquer avec Z.________ pour préserver le résultat de l'enquête et la recherche de la vérité. La prévenue nie tout risque de collusion, aux motifs que son compagnon serait lui aussi incarcéré, que seuls les parents de ce dernier pourraient encore être amenés à témoigner, que cependant la mère serait muette et le beau-père serait sourd, et qu'elle ne voudrait plus avoir aucun contact avec Z.________. Ces circonstances ne sauraient toutefois empêcher toute communication entre les protagonistes une fois l'un des deux libéré. Un risque de collusion est donc bien réel.</w:t>
      </w:r>
    </w:p>
    <w:p>
      <w:r>
        <w:rPr>
          <w:b/>
        </w:rPr>
        <w:t>E. 4.1</w:t>
      </w:r>
    </w:p>
    <w:p>
      <w:r>
        <w:t>L'ordonnance entreprise retient également un risque de récidive.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w:t>
      </w:r>
    </w:p>
    <w:p>
      <w:r>
        <w:rPr>
          <w:b/>
        </w:rPr>
        <w:t>E. 4.2</w:t>
      </w:r>
    </w:p>
    <w:p>
      <w:r>
        <w:t>La recourante conteste l'existence d'un risque de récidive, arguant qu'elle n'a pas d'antécédents, qu'elle ne serait pas une personne violente et que les circonstances à l'origine de son comportement auraient disparu : en raison de son déni de grossesse, elle n'aurait violenté que sa fille, ce qui ne serait désormais plus possible puisque le bébé serait "bien à l'abri dans une pouponnière". Or au vu de la gravité des premiers indices recueillis – soit, notamment, le message (…) de la prévenue contenant les mots "sinon je la tue – " , au vu du fait que l'intéressée ne sait visiblement pas se contrôler et qu'elle reconnu sa fragilité psychique (PV aud. du 10 décembre 2014, p. 2) et au vu de l'inexistence d'un cadre thérapeutique à ce stade, il est à craindre qu'elle ne commette de nouvelles infractions de même gravité. Le risque de réitération est donc également manifeste.</w:t>
      </w:r>
    </w:p>
    <w:p>
      <w:r>
        <w:rPr>
          <w:b/>
        </w:rPr>
        <w:t>E. 4.3</w:t>
      </w:r>
    </w:p>
    <w:p>
      <w:r>
        <w:t>Dans ces conditions, la détention d'Q.________ est justifiée, aucune mesure de substitution n'étant propre à contenir les risques retenus.</w:t>
      </w:r>
    </w:p>
    <w:p>
      <w:r>
        <w:rPr>
          <w:b/>
        </w:rPr>
        <w:t>E. 5.1</w:t>
      </w:r>
    </w:p>
    <w:p>
      <w:r>
        <w:t>D'après la jurisprudence,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5.2</w:t>
      </w:r>
    </w:p>
    <w:p>
      <w:r>
        <w:t>En l'espèce, Q.________ étant incarcérée depuis le 8 décembre 2014, sa détention est proportionnée tant au regard des mesures d'instruction devant encore être mises en oeuvre, qu'au vu de la peine qu'elle encourt, ce qu'elle ne remet d'ailleurs pas en cause.</w:t>
      </w:r>
    </w:p>
    <w:p>
      <w:r>
        <w:rPr>
          <w:b/>
        </w:rPr>
        <w:t>E. 6</w:t>
      </w:r>
    </w:p>
    <w:p>
      <w:r>
        <w:t>Il résulte de ce qui précède que le recours, manifestement mal fondé, doit être rejeté sans autre échange d'écritures et l'ordonnance entreprise confirmée. Les frais de la procédure de recours, constitués en l’espèce de l’émolument d'arrêt (art. 422 al. 1 CPP), par 770 fr. (art. 20 al. 1 TFIP [tarif des frais de procédure et indemnités en matière pénale du 28 septembre 2010; RSV 312.03.1]), et des frais imputables à la défense d’office (art. 422 al. 1 et 2 let. a CPP), fixés à 540 fr., plus la TVA par 43 fr. 20, soit 583 fr. 20 fr. au total, seront mis à la charge de la recourante, qui succombe (art. 428 al. 1 CPP). Le remboursement à l’Etat de l’indemnité allouée au défenseur d’office d'Q.________ ne sera toutefois exigible que pour autant que la situation économique de cette dernière se soit améliorée (art. 135 al. 4 CPP). Par ces motifs, la Chambre des recours pénale prononce : I. Le recours est rejeté. II. L'ordonnance du 10 décembre 2014 est confirmée. III. L'indemnité allouée au défenseur d'office d'Q.________ est fixée à 583 fr. 20 (cinq cent huitante-trois francs et vingt centimes). IV. Les frais d’arrêt, par 770 fr. (sept cent septante francs), ainsi que l’indemnité due au défenseur d’office d'Q.________ par 583 fr. 20 (cinq cent huitante-trois francs et vingt centimes), sont mis à la charge de cette dernière. V. Le remboursement à l'Etat de l'indemnité allouée au chiffre III ci-dessus ne sera exigible que pour autant que la situation économique d'Q.________ se soit améliorée. VI . Le présent arrêt est exécutoire. Le président :               La greffière : Du Le présent arrêt, dont la rédaction a été approuvée à huis clos, est notifié, par l'envoi d'une copie complète, à : - M. Jérôme Campart, avocat (pour Q.________), - Ministère public central, et communiqué à : ‑ M. le Président du Tribunal des mesures de contrainte, - M. le Procureur itinérant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