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401 vom 29. August 2014</w:t>
      </w:r>
    </w:p>
    <w:p>
      <w:r>
        <w:t>VD Tribunal cantonal, 2014-08-29, FR</w:t>
      </w:r>
    </w:p>
    <w:p>
      <w:r>
        <w:rPr>
          <w:b/>
        </w:rPr>
        <w:t xml:space="preserve">Quelle: </w:t>
      </w:r>
      <w:r>
        <w:t>https://mcp.opencaselaw.ch/entscheid/vd_findinfo_Jug___2014___401</w:t>
      </w:r>
    </w:p>
    <w:p>
      <w:r>
        <w:t>FR: VD_FINDINFO Jug / 2014 / 401 du 29 août 2014</w:t>
      </w:r>
    </w:p>
    <w:p>
      <w:r>
        <w:t>IT: VD_FINDINFO Jug / 2014 / 401 del 29 agosto 2014</w:t>
      </w:r>
    </w:p>
    <w:p>
      <w:pPr>
        <w:pStyle w:val="Heading2"/>
      </w:pPr>
      <w:r>
        <w:t>Regeste</w:t>
      </w:r>
    </w:p>
    <w:p>
      <w:r>
        <w:t>CONFISCATION{DROIT PÉNAL}, RESTITUTION{EN GÉNÉRAL}, CRÉANCE, PRÉTENTION DE DROIT PUBLIC | 70 al. 1 CP, 73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portant uniquement sur les conclusions civiles des parties plaignantes, celles-ci ont manifestement un intérêt juridiquement protégé à la modification ou à l'annulation de la décision (art. 382 al. 1 CPP). La procédure écrite est applicable (art. 406 al. 1 let.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Les appelants soutiennent que les premiers juges ont mal appliqué l’art. 73 al. 2 CP, en refusant de leur allouer la somme de 56'565 fr. 95 séquestrée sur le compte [...] n° [...] au nom de B.________. Dès lors que l’origine des fonds est clairement déterminée, les valeurs patrimoniales séquestrées devraient leur être restituées en application de l’art. 70 al. 1 CP, l’art. 73 CP n’étant ainsi pas applicable. En outre, selon les plaignants, la restitution au lésé prime sur la confiscation, lorsque, comme en l’espèce, un lien direct peut être établi entre l’infraction et les valeurs patrimoniales séquestrées. Dans ses déterminations, le Ministère public central observe que les plaignants n’ont pas pris de conclusions en restitution des avoirs séquestrés et qu’ils se sont bornés à conclure à l’audience de première instance à l’allocation d’un montant de 829'925 francs. En outre, faute de cession au sens de l’art. 73 al. 2 CP, une allocation ne pouvait intervenir en faveur des lésés.</w:t>
      </w:r>
    </w:p>
    <w:p>
      <w:r>
        <w:rPr>
          <w:b/>
        </w:rPr>
        <w:t>E. 3.1.1</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 4.1; ATF 129 IV 322 c. 2.2.4; ATF 117 IV 107 c. 2a). 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(ATF 124 I 6 c. 4b/bb; ATF 123 IV 70 c. 3); cette créance ne joue qu’un rôle de substitution de la confiscation en nature et ne doit donc, par rapport à celle-ci, engendrer ni avantage ni inconvénient (ATF 126 IV 70 c. 3). Aux termes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notamment. Le juge ne peut toutefois ordonner cette mesure que si le lésé cède à l’Etat une part correspondante de sa créance (art. 73 al. 2 CP).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(Niggli/Wiprächtiger, Basler Kommentar, Strafrecht I, n. 19 ad art. 73 CP).</w:t>
      </w:r>
    </w:p>
    <w:p>
      <w:r>
        <w:rPr>
          <w:b/>
        </w:rPr>
        <w:t>E. 3.1.2</w:t>
      </w:r>
    </w:p>
    <w:p>
      <w:r>
        <w:t>La restitution doit porter sur des valeurs patrimoniales qui sont le produit d'une infraction dont le lésé a été lui-même victime; les valeurs patrimoniales doivent être la conséquence directe et immédiate de l'infraction (ATF 122 IV 365 c. III/2b; TF 6S.709/2000 du 26 mai 2003). Selon la jurisprudence, le lésé ne doit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(TF 1P.152/2004 du 19 mai 2004,c. 2.3 et les références citées).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Ainsi, lorsqu'une infraction contre le patrimoine, telle qu'une escroquerie, est rendue possible par un faux dans les titres (art. 251 CP), les valeurs patrimoniales obtenues ne sont que la conséquence indirecte de cette seconde infraction (SJ 1999 I 417; TF 6S.667/2000 du 19 février 2001 c. 3a et les références citées).</w:t>
      </w:r>
    </w:p>
    <w:p>
      <w:r>
        <w:rPr>
          <w:b/>
        </w:rPr>
        <w:t>E. 3.2</w:t>
      </w:r>
    </w:p>
    <w:p>
      <w:r>
        <w:t>En l’espèce, le jugement attaqué retient (p. 18, par. 1 in fine ) que le solde du compte séquestré, par 56'565 fr. 95, constitue directement une partie du produit de la vente de l’appartement des plaignants et ce constat n’est aucunement remis en question dans le cadre de la procédure d’appel. Le lien direct entre l’infraction, soit l’appropriation abusive, et les valeurs séquestrées est ainsi établi. Partant, dès lors que les valeurs patrimoniales en cause sont le résultat d’une infraction et non une valeur de remplacement au sens de l’art. 73 CP et dans la mesure où les lésés sont connus, les montants séquestrés devraient être restitués à ces derniers en application de l'art. 70 al. 1 CP. C’est donc à tort que les premiers juges ont considéré que les valeurs séquestrées ne pouvaient pas être dévolues aux plaignants à défaut de cession conforme à l’art. 73 al. 2 CP. Il reste à déterminer si les conclusions prises par les plaignants dans la procédure permettent la restitution des valeurs patrimoniales. A teneur du procès-verbal du jugement (p. 7), les plaignants ont conclu exclusivement à l’allocation d’un montant correspondant à leur préjudice et à des dépens. Comme l’ont interprété les premiers juges en page 17 du jugement, ces conclusions civiles ne comportaient pas la demande de restitution des montants séquestrés. Dans leur appel, les plaignants affirment, par leur conseil, avoir conclu, aux débats de première instance, à ce que le séquestre soit levé et la somme de 56'565 fr. 95 leur soit restituée intégralement. Il n’est toutefois pas nécessaire de déterminer les conclusions exactes formulées en première instance. En effet, dès lors que le sort des biens saisis n'est décidé définitivement qu'à l'issue de la procédure pénale (ATF 128 I 129) et que l’appel a un effet dévolutif complet sur les points du jugement contestés, il faut admettre que les conclusions prises en appel suffisent à ordonner la restitution des montants séquestrés aux lésés. On peut même considérer que le juge doit ordonner d'office le rétablissement des droits du lésé au sens de l'art. 70 al. 1 CP si, comme en l'espèce, il est établi que les valeurs patrimoniales séquestrées sont le produit de l'infraction commise au préjudice du lésé, les prétentions de ce dernier prévalant sur l'intérêt de l'Etat à confisquer (Hirsig-Vouilloz, Commentaire romand, Code pénal I, Bâle 2009, n. 24 ad art. 70 CP).</w:t>
      </w:r>
    </w:p>
    <w:p>
      <w:r>
        <w:rPr>
          <w:b/>
        </w:rPr>
        <w:t>E. 4.1</w:t>
      </w:r>
    </w:p>
    <w:p>
      <w:r>
        <w:t>En conclusion, l'appel doit être admis et le chiffre IV du dispositif de première instance réformé en ce sens que les valeurs patrimoniales séquestrées sous fiche 2275 sont restituées aux plaignants C.J.________ et B.J.________.</w:t>
      </w:r>
    </w:p>
    <w:p>
      <w:r>
        <w:rPr>
          <w:b/>
        </w:rPr>
        <w:t>E. 4.2</w:t>
      </w:r>
    </w:p>
    <w:p>
      <w:r>
        <w:t>Vu l’issue de la cause, les frais de la procédure d’appel seront laissés à la charge de l’Etat.</w:t>
      </w:r>
    </w:p>
    <w:p>
      <w:r>
        <w:rPr>
          <w:b/>
        </w:rPr>
        <w:t>E. 4.3</w:t>
      </w:r>
    </w:p>
    <w:p>
      <w:r>
        <w:t>Les appelants n'ayant pas chiffré les dépens d'appel qu'ils réclament, il n'y a pas matière à les allouer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