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397 vom 22. März 2013</w:t>
      </w:r>
    </w:p>
    <w:p>
      <w:r>
        <w:t>VD Tribunal cantonal, 2013-03-22, FR</w:t>
      </w:r>
    </w:p>
    <w:p>
      <w:r>
        <w:rPr>
          <w:b/>
        </w:rPr>
        <w:t xml:space="preserve">Quelle: </w:t>
      </w:r>
      <w:r>
        <w:t>https://mcp.opencaselaw.ch/entscheid/vd_findinfo_Jug___2014___397</w:t>
      </w:r>
    </w:p>
    <w:p>
      <w:r>
        <w:t>FR: VD_FINDINFO Jug / 2014 / 397 du 22 mars 2013</w:t>
      </w:r>
    </w:p>
    <w:p>
      <w:r>
        <w:t>IT: VD_FINDINFO Jug / 2014 / 397 del 22 marzo 2013</w:t>
      </w:r>
    </w:p>
    <w:p>
      <w:pPr>
        <w:pStyle w:val="Heading2"/>
      </w:pPr>
      <w:r>
        <w:t>Regeste</w:t>
      </w:r>
    </w:p>
    <w:p>
      <w:r>
        <w:t>RÉVISION{DÉCISION}, DÉCISION D'IRRECEVABILITÉ | 411 CPP (CH), 412 al. 2 CPP (CH)</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137 IV 59 c. 5.1.2 pp. 66 s; ATF 130 IV 72 c. 1; TF 6B_310/2011 c. 1.2).</w:t>
      </w:r>
    </w:p>
    <w:p>
      <w:r>
        <w:rPr>
          <w:b/>
        </w:rPr>
        <w:t>E. 1.2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 Schulthess § 2011, n. 2092, p. 679; Heer, in : Niggli/Heer/Wiprächtiger [éd.], Basler Kommentar, Schweizerische Strafprozessordnung Jungenstrafprozessordnung, 2 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1.3</w:t>
      </w:r>
    </w:p>
    <w:p>
      <w:r>
        <w:t>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 2.2). Cette jurisprudence s’applique aussi à une procédure de révision régie par le CPP (TF 6B_310/2011 du 20 juin 2011).</w:t>
      </w:r>
    </w:p>
    <w:p>
      <w:r>
        <w:rPr>
          <w:b/>
        </w:rPr>
        <w:t>E. 2</w:t>
      </w:r>
    </w:p>
    <w:p>
      <w:r>
        <w:t>En l'espèce, la requérante n’invoque aucun élément nouveau inconnu au moment du prononcé de l’ordonnance qui trancherait en faveur d’une mise des frais de la cause à la charge de l’Etat. Par conséquent, la voie de la révision lui est fermée. Une demande de révision n'est pas une voie de droit destinée à pallier la tardiveté d'un recours. En l’occurrence, la requérante explique avoir eu connaissance de l'ordonnance de classement du 22 mars 2013 ensuite de la réception, le 10 septembre 2014, d'une citation à comparaître émanant du Tribunal de 1 ère instance de Genève relative à la procédure de poursuites initiée par l'Etat de Vaud. En l'absence au dossier de la preuve de la notification de l'ordonnance précitée, qui incombe à l’autorité (ATF 129 I 8 c. 2.1), il y a lieu de se fonder sur les déclarations du destinataire de l'envoi (ATF 103 V 63 c. 2a; TF 6B_955/2008 du 17 mars 2009 c. 1). Dans ces circonstances, il convient de retenir que la requérante a bien eu connaissance de l'ordonnance de classement le 10 septembre 2014. Toutefois, le délai de recours de dix jours (art. 396 al. 1 CPP) étant arrivé à échéance le lundi 22 septembre 2014 (cf. art. 90 al. 2 CPP), son acte, mis à la poste le 21 octobre 2014, serait manifestement tardif s’il devait être considéré comme un recours.</w:t>
      </w:r>
    </w:p>
    <w:p>
      <w:r>
        <w:rPr>
          <w:b/>
        </w:rPr>
        <w:t>E. 3</w:t>
      </w:r>
    </w:p>
    <w:p>
      <w:r>
        <w:t>En définitive, la demande de révision présentée par H.________ est irrecevable.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