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390 vom 6. Februar 2015</w:t>
      </w:r>
    </w:p>
    <w:p>
      <w:r>
        <w:t>VD Tribunal cantonal, 2015-02-06, FR</w:t>
      </w:r>
    </w:p>
    <w:p>
      <w:r>
        <w:rPr>
          <w:b/>
        </w:rPr>
        <w:t xml:space="preserve">Quelle: </w:t>
      </w:r>
      <w:r>
        <w:t>https://mcp.opencaselaw.ch/entscheid/vd_findinfo_Jug___2014___390</w:t>
      </w:r>
    </w:p>
    <w:p>
      <w:r>
        <w:t>FR: VD_FINDINFO Jug / 2014 / 390 du 6 février 2015</w:t>
      </w:r>
    </w:p>
    <w:p>
      <w:r>
        <w:t>IT: VD_FINDINFO Jug / 2014 / 390 del 6 febbraio 2015</w:t>
      </w:r>
    </w:p>
    <w:p>
      <w:pPr>
        <w:pStyle w:val="Heading2"/>
      </w:pPr>
      <w:r>
        <w:t>Regeste</w:t>
      </w:r>
    </w:p>
    <w:p>
      <w:r>
        <w:t>INSTANCE UNIQUE, CONCURRENCE DÉLOYALE, DEMANDE RECONVENTIONNELLE, DOMMAGE, FARDEAU DE LA PREUVE, TORT MORAL | 8 CC, 42 al. 2 CO, 49 al. 1 CO, 1 LCD, 2 LCD, 5 LCD, 9 LCD, 224 al. 1 CPC (CH), 5 al. 1 let. d CPC (CH), 58 al. 1 CPC (CH)</w:t>
      </w:r>
    </w:p>
    <w:p>
      <w:pPr>
        <w:pStyle w:val="Heading2"/>
      </w:pPr>
      <w:r>
        <w:t>Erwägungen</w:t>
      </w:r>
    </w:p>
    <w:p>
      <w:r>
        <w:rPr>
          <w:b/>
        </w:rPr>
        <w:t>E. 3</w:t>
      </w:r>
    </w:p>
    <w:p>
      <w:r>
        <w:t>à 8 LCD, mais elle reste applicable pour les hypothèses que ces dispositions ne viseraient pas (ATF 132 III 414 c. 3.1 rés. in JT 2006 I 359 ; 131 III 384 c. 3, JT 2005 I 434; TF 4A_689/2012 précité c. 2.4). Seuls sont interdits les actes économiquement pertinents ( Wirtschaftsrelevant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(TF 4A_313/2007 du 27 novembre 2008 c. 3.1) . Ces conditions s’appliquent non seulement à l’art. 2 LCD, mais aussi aux cas spécifiques détaillés aux art. 3 à 8 LCD (Jung in Jung/Spitz (éd.), Handkommentar zum Bundesgesetz gegen den unlauteren Wettbewerb, Berne 2010, nn. 10 ss ad art. 2 LCD; ci-après : Handkommentar UWG). b) Il n'est en l'espèce pas contesté que l'organisation, pour le compte de C.________ SA, des salons [...] et "[...]" constitue un marché. Il n'est en outre pas contestable que l'attribution de ce marché a une influence sur la concurrence. Les défendeurs sont toutefois d'avis que le but statutaire de la demanderesse ne lui permet pas d'intervenir dans ce cadre et qu'elle ne dispose pas des compétences pour ce faire. Ils soutiennent ainsi en substance que les reproches de la demanderesse ne concernent pas des actes économiquement pertinents et, par conséquent, que la LCD ne serait pas applicable. aa) Les statuts d'une société anonyme doivent contenir des dispositions sur son but (art. 626 ch. 2 CO), l es personnes autorisées à représenter la société ayant le droit d'accomplir en son nom tous les actes que peut impliquer ce but (art. 718a al. 1 CO). Ce pouvoir de représentation est interprété de manière extensive et comprend les actes inhabituels, pour autant qu'ils soient possiblement justifiés par le but statutaire (ATF 116 II 320 c. 3a, JT 1991 I 374). Des exceptions ne sont admises que dans les cas extrêmes (pour le tout cf. TF 4A_147/2014 du 19 novembre 2014 c. 3.1.1 et les nombreuses références citées). Selon l'art. 2 des statuts de la demanderesse, celle-ci a notamment pour but l'exploitation d'une agence de communication, de publicité et de gestion média, ainsi que la conception d'imprimés, la gestion de mandats d'impression, la création de sites Internet, le développement de logiciels ainsi que tous travaux liés au multimédia. Elle peut en outre exercer "toute activité (...) commerciale en rapport direct ou indirect avec son but (...)". De son côté, le contrat conclu le 24 février 2011 entre C.________ SA et N.________ Sàrl prévoit en particulier, comme "prestations à fournir" (art. 2, préambule), la conception, la mise en place et la commercialisation du salon [...], à l'exclusion des prestations logistiques et administratives. La clause topique du contrat du 13 septembre 2011 relatif au salon "[...]" prévoit la même chose. Quoi qu'en pensent les défendeurs, les statuts de la demanderesse ne lui interdisent ainsi pas de participer au marché proposé par C.________ SA. Les deux contrats précités comprennent d'ailleurs une liste exemplative de prestations dont plusieurs postes ou rubriques (ch. 2.3 : "catalogues"; ch. 2.5 : "Presse et média") entrent manifestement dans les activités de la demanderesse. Son but social est au demeurant plus proche du marché concerné que ne l'est celui de N.________ Sàrl, dont la spécialité première réside dans "(l')offre d'ingénierie et d'analyse (...)". Les défendeurs ne soutiennent toutefois pas avoir violé ce but en engageant la société envers C.________ SA. Ils ne sauraient dès lors être suivis lorsqu'ils prétendent que tel aurait été le cas de la demanderesse si elle avait organisé les deux salons. bb) S'agissant par ailleurs du prétendu manque de compétences de la demanderesse, on relèvera qu'aux termes du contrat du 24 février 2011, "N.________ Sàrl est spécialisée dans cette thématique du Salon grâce aux connaissances de V.________". Au vu du but de la société et du fait qu'elle n'existait que depuis deux jours, il ne fait aucun doute que les compétences recherchées étaient celles de V.________. L'intéressé était employé à plein temps par la demanderesse en qualité de "Research &amp; Development New Media, chef de projet senior", ce qui ne paraît pas incompatible avec les tâches détaillées au point précédent. La demanderesse disposait ainsi en son sein des mêmes facultés que N.________ Sàrl. La détermination des tâches dévolues à V.________ par la demanderesse relève au surplus du droit des contrats, mais n'est pas pertinente pour exclure l'application de la LCD. Cet argument des défendeurs ne convainc dès lors pas non plus. Il n'est finalement pas nécessaire, pour que les dispositions de la LCD s'appliquent, que la demanderesse et N.________ Sàrl soient directement concurrentes. Au vu de ce qui précède, il faut néanmoins admettre que les deux sociétés auraient pu se disputer le partenariat proposé par C.________ SA si la première avait eu connaissance de cette opportunité. cc) Il en découle que, contrairement à l'avis des défendeurs, la cause porte bien sur des actes de concurrence déloyale, de sorte que les dispositions régissant cette matière s'appliquent. Il faut par conséquent examiner si une violation de ces dispositions a eu lieu. c) Les parties allèguent les faits sur lesquels elles fondent leurs prétentions et produisent les preuves qui s'y rapportent (art. 55 al. 1 CPC). Chaque partie doit en outre, si la loi ne prescrit pas le contraire, prouver les faits qu'elle allègue pour en déduire son droit (art. 8 CC - Code civil suisse du 10 décembre 1907; RS 210). Cette règle s'applique également lorsque la preuve porte sur des faits négatifs. Les règles de la bonne foi imposent toutefois à l'autre partie de coopérer à la procédure probatoire, notamment en offrant la preuve du contraire (ATF 119 II 305 c. 1b/aa, JdT 1994 I 217; TF 4A_256/2013 du 17 octobre 2013 c. 2.2). Il appartient ainsi à la demanderesse de prouver les faits sur lesquels elle fonde ses prétentions, alors que les défendeurs supportent ce fardeau pour les moyens libératoires dont ils se prévalent. d) aa) La demanderesse invoque l'art. 5 LCD. Sous le titre "exploitation d'une prestation d'autrui", cette disposition prévoit qu'agit notamment de façon déloyale celui qui, exploite de façon indue le résultat d'un travail qui lui a été confié, par exemple des offres, des calculs ou des plans (litt. a), exploite le résultat du travail d'un tiers, par exemple des offres, des calculs ou des plans, bien qu'il sache que ce résultat lui a été remis ou rendu accessible de façon indue (litt. b) ou reprend grâce à des procédés techniques de reproduction et sans sacrifice correspondant le résultat de travail d'un tiers prêt à être mis sur le marché et l'exploite comme tel (litt. c). Les deux premières hypothèses prévues à l'art. 5 LCD ont pour condition commune l'existence du "résultat d'un travail", savoir le résultat matérialisé d'une activité intellectuelle ou matérielle (Tribunal cantonal de Berne, 29 mai 2009, Sic! 2010 pp. 802 ss spéc. 803 et réf. cit.; Brauchbar Birkhäuser, Handkommentar UWG, n. 10 ad art. 5 LCD; Frick in Hilty/Arpagaus (éd.), Basler Kommentar, Bundesgesetz gegen den unlauteren Wettbewerb (UWG), 2013, n. 24 ad art. 5 LCD et réf. cit.; ci-après : Basler Kommentar UWG). Ce résultat du travail doit en outre soit avoir été confié directement par le lésé dans un but précis et exclusif (litt. a; Brauchbar Birkhäuser, op. cit., nn. 15 s. ad art. 5 LCD et réf. cit.; Frick, op. cit., nn. 42 ss. ad art. 5 LCD, qui cite divers arrêts établissant un parallèle avec la trahison constitutive d'un abus de confiance au sens du droit pénal), soit avoir été reçu d'un tiers alors qu'il était reconnaissable que ce dernier n'était pas en droit d'en disposer (litt. b; Brauchbar Birkhäuser, op. cit., nn. 15 et 17 ad. art. 5 LCD et réf. cit.; Frick, op. cit., n. 58 ad art. 5 LCD). L'art. 5 litt. c LCD ne s'applique de son côté qu'aux biens et produits, à l'exclusion des services (ATF 117 II 100 , JT 1992 I 376, cité in Brauchbar Birkhauser , op. cit., n. 23 ad art. 5 LCD; cf. ég. ATF 131 III 384 précité c. 4.1). bb) La demanderesse a en l'espèce admis que C.________ SA n'a jamais été sa cliente. Elle lui a certes proposé un devis au mois d'octobre 2010, mais celui-ci concernait une offre pour des imprimés, sans qu'il soit établi que ceux-ci étaient en lien avec les salons [...] et "[...]". Il n'est pas non plus établi que la demanderesse a été informée de l'organisation de ces deux salons par N.________ Sàrl, de sorte qu'elle n'a manifestement préparé aucune offre ni entrepris aucune autre démarche relative à ces événements. Dans ces conditions, on ne voit pas quel "résultat d'un travail" déjà matérialisé (offre, plans, calculs ou autre) les défendeurs auraient exploité au détriment de la demanderesse. En effet, le reproche de la demanderesse envers V.________ et X.________, savoir d'avoir travaillé pour N.________ Sàrl pendant les heures de travail qu'ils devaient lui fournir, n’entre pas dans cette définition. La demanderesse ne soutient au demeurant pas avoir "confié" le résultat de son travail aux défendeurs, ni que C.________ SA leur aurait indûment transmis ce résultat, et la "trahison" dont elle se plaint n'est dès lors couverte par l'art. 5 litt. a et b LCD. Elle ne prétend pas non plus que V.________ et X.________ ont repris le résultat "prêt à être mis sur le marché" de son travail. L'art. 5 litt. c LCD, qui ne s'applique au demeurant pas aux services, n'entre ainsi pas non plus en ligne de compte. C'est donc à tort que la demanderesse invoque l'art. 5 LCD. e) Il faut encore examiner si le comportement des défendeurs viole une autre disposition en matière de concurrence déloyale, savoir les art. 3-4a et 6-8 LCD ou, subsidiairement, la clause générale de l'art. 2 LCD. aa) Les dispositions spéciales interdisent les méthodes déloyales de publicité et de vente (art. 3 LCD), l'incitation à violer ou à résilier un contrat (art. 4 LCD), la corruption active ou passive (art. 4a LCD), la violation des secrets de fabrication ou d'affaires (art. 6 LCD), l'inobservation des conditions de travail (art. 7 LCD) et l'utilisation de conditions commerciales abusives (art. 8 LCD). L'art. 7 LCD prévoit en particulier que celui qui, notamment, n'observe pas les conditions de travail légales ou contractuelles qui sont également imposées à la concurrence ou qui sont conformes aux usages professionnels ou locaux agit de façon déloyale. Cette disposition a pour but d'éviter le dumping social, soit le fait pour un employeur d'obtenir un avantage sur ses concurrents en ne respectant pas les conditions de travail obligatoires ou usuelles dans sa branche d'activités (Wickihalder in Basler Kommentar UWG, n. 1 ad art. 7 LCD et réf. cit.). Les actes non couverts par ces dispositions mais qui impactent la libre concurrence de manière déloyale (cf. supra let. a) tombent quant à eux sous le coup de l'art. 2 LCD. bb) L'instruction a permis d'établir que le 22 février 2011, alors qu'ils étaient employés à plein temps par la demanderesse en qualité de "Research &amp; Development New Media, chef de projet senior" et de directeur multimédia du "Département I.________", V.________ et X.________ ont fondé N.________ Sàrl. Le premier ayant été approché par C.________ SA pour organiser le salon [...], ils ont conclu un contrat dans ce sens au nom de la nouvelle société le 24 février 2011. Dans ce cadre, ils ont sous-traité une partie de leurs activités à la demanderesse, savoir la création d'un site Internet, ce qui a fait l'objet d'une facture du 16 mai 2011. Le salon a eu lieu au mois de mai 2012. Parallèlement, dès le mois d'août 2011, V.________ – seul – et C.________ SA sont entrés en négociations pour organiser le salon "[...]" au mois d'avril 2013. Il n'est en revanche pas prouvé que V.________ et X.________ ont consacré à N.________ Sàrl les heures de travail qu'ils devaient mettre au service de la demanderesse. Le fait qu'ils se soient beaucoup investis dans leurs tâches respectives au service de cette dernière plaide plutôt en faveur du contraire. Avant de résilier les rapports de travail des défendeurs avec effet immédiat le 25 août 2011, la demanderesse avait au demeurant transmis à V.________ un courrier de résiliation ordinaire le 7 juillet 2011 dans lequel elle invoquait des raisons économiques mais aucun motif d'insatisfaction. Par ailleurs, il ressort de l'état de fait qu'au moins une partie des tâches relatives au salon [...] ont été sous-traitées, sans qu'il soit établi – ni même allégué – dans quelle mesure cela a été le cas. Il est ainsi possible que les défendeurs n'aient eu besoin de consacrer que peu de leur propre temps à ces tâches et ce, en dehors de leurs heures de travail au service de la demanderesse. Cette dernière, à qui il incombe de démontrer l'existence d'une violation de la LCD, échoue à apporter la preuve des éléments de fait qu'elle invoque. A fortiori , il n'est pas non plus établi que les défendeurs se sont servis des infrastructures de la demanderesse afin d'obtenir un avantage concurrentiel par rapport à elle. S'agissant des salaires versés par la demanderesse à V.________ et X.________, ces derniers pouvaient en disposer librement et l'on ne voit dès lors pas en quoi le fait qu'ils aient investi ces fonds pour constituer N.________ Sàrl serait déloyal. Il n'est par ailleurs pas allégué qu'ils auraient utilisé les fonds de la demanderesse pour financer leurs activités annexes. On ne voit pas non plus en quoi le fait que V.________ et X.________ aient domicilié N.________ Sàrl à une adresse différente de la leur ou qu'ils aient choisi de contracter avec C.________ SA par l'intermédiaire de cette société serait constitutif de concurrence déloyale. Si tant est que ces manoeuvres aient eu pour but de dissimuler leur activité à la demanderesse, comme cette dernière le prétend, elles n'entraînent en effet aucune conséquence sur le bon fonctionnement de la concurrence. Par conséquent, les reproches de la demanderesse ne peuvent plus porter que sur le fait que V.________ et X.________ lui auraient fait concurrence alors qu'ils étaient ses employés. Cette question ne concerne toutefois pas la protection du marché ou de la libre concurrence en tant que tels, mais les obligations réciproques des parties découlant de leurs relations juridiques. En d'autres termes, il ne s'agit pas d'une question de concurrence déloyale, mais d'interdiction de concurrence qui ne relève pas de la LCD. La cour ne reconnaît finalement aucun autre procédé dans l'état de fait qui soit propre à indûment avantager les défendeurs ou désavantager la demanderesse dans le cadre des contrats conclus avec C.________ SA. f) La demanderesse échoue ainsi à démontrer l'existence d'un quelconque acte de concurrence déloyale. L es considérants émis par le Ministère public dans son ordonnance de classement du 16 mai 2013, quand bien même ils concernent le volet pénal de l’affaire, vont d'ailleurs dans le sens de cette conclusion. g) S'agissant de l'indemnisation du tort moral exigée par la demanderesse, on rappellera que les personnes morales bénéficient de la protection des droits de la personnalité qui n'appartiennent pas uniquement, par leur nature, aux personnes physiques, notamment le sentiment de l'honneur, la protection de la sphère privée et secrète, le droit à la considération sociale et le droit au libre développement économique – qui est assuré dans une large mesure par la LCD – (ATF 138 III 337 c. 6.1 et les arrêts cités, JT 2013 II 125 et 141, SJ 2012 I p. 355; TF 5A_354/2012 du 26 juin 2014 c. 3). L'octroi d'une indemnisation du tort moral dépend toutefois de l'existence d'un acte de concurrence déloyale (art. 9 al. 3 LCD), cette condition n'étant pas réalisée en l'espèce. h) La Cour n’est pour le surplus tenue d’appliquer le droit d’office que dans le cadre de sa compétence, en l'espèce limitée aux acte de concurrence déloyale, la demanderesse n’invoquant au demeurant aucun autre fondement juridique à l’appui de ses prétentions. Il s'ensuit le rejet intégral de ses conclusions . V. a)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comprennent l'émolument forfaitaire de décision, qui est fixé en fonction de la valeur litigieuse (art. 18 TFJC - Tarif des frais judiciaires civils du 28 septembre 2010; RSV 270.11.5). Il est majoré lorsque la cause met en cause plus de deux parties (art. 19 TFJC). Toutefois, pour les causes dont la valeur litigieuse est supérieure à 500'000 fr., il peut être réduit en tenant compte de la complexité de l’affaire et des travaux accomplis par la cour et le greffe (art. 22 al. 8 TFJC). Par ailleurs, si le procès prend fin par une décision au sens des articles 59 et 61 CPC, l’émolument de décision est réduit des deux tiers si la décision intervient avant la première audience, d’un tiers ensuite (art. 22 al. 3 TFJC). Les frais judiciaires sont compensés avec les avances fournies, la partie à qui incombe la charge des frais restituant à l'autre partie les avances que celle-ci a fournies (art. 111 al. 1 et 2 CPC). La partie qui succombe est par ailleurs tenue de rembourser à celle qui a obtenu gain de cause tous les frais nécessaires causés par le litige. (art. 3 al. 1 TDC – Tarif des dépens en matière civile du 23 novembre 2010; RSV 270.11.6). b) Quand bien même seul le défendeur X.________ a pris une conclusion reconventionnelle contre la demanderesse, les trois défendeurs ont agi ensemble par l’intermédiaire d’un conseil commun tout au long de la procédure, de sorte qu’il se justifie de fixer leurs frais et dépens solidairement entre eux. Ainsi, les frais judiciaires sont arrêtés à 31'474 fr. 20 pour la demanderesse (émolument : 30'000 fr. [art. 18, 19 et 22 al. 8 TFJC]; frais d’audition des témoins : 1'474 fr. 20) et à 3'546 fr. pour les défendeurs, solidairement entre eux (émolument : 2'500 fr. [art. 18 et 22 al. 3 TFJC]; frais d’audition des témoins : 1'046 fr.). Ces montants sont compensés par les avances versées, le solde étant reversé aux parties. Vu le sort des conclusions respectives des parties, la demanderesse versera aux défendeurs, solidairement entre eux, des dépens réduits d’un vingtième qu’il convient d’arrêter à 19'950 fr. (19'000 fr. à titre de défraiement de leur conseil; 950 fr. à titre de débours [art. 3 al. 2-3, 4 et 19 al. 2 TDC]). Elle leur restituera en outre leur avance de frais – réduite dans la même proportion – par 3'368 fr. 70. En définitive, la demanderesse versera aux défendeurs, solidairement entre eux, un montant de 23'318 fr. 70 à titre de dépens et de restitution d’avance de frais. VI.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op. cit., n. 38 ad art. 239 CPC; Oberhammer, Basler Kommentar ZPO, op. cit., n. 10 ad art. 239 CPC; Gasser/Rickli, Schweizerische Zivilprozessordnung, Kurzkommentar, Zurich 2010, n. 4 ad art. 239 CPC; contra : Tappy in Bohnet et alii , op. cit., nn. 24-25 ad art. 239 CPC). Par conséquent, le présent jugement est motivé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