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378 vom 6. August 2014</w:t>
      </w:r>
    </w:p>
    <w:p>
      <w:r>
        <w:t>VD Tribunal cantonal, 2014-08-06, FR</w:t>
      </w:r>
    </w:p>
    <w:p>
      <w:r>
        <w:rPr>
          <w:b/>
        </w:rPr>
        <w:t xml:space="preserve">Quelle: </w:t>
      </w:r>
      <w:r>
        <w:t>https://mcp.opencaselaw.ch/entscheid/vd_findinfo_Jug___2014___378</w:t>
      </w:r>
    </w:p>
    <w:p>
      <w:r>
        <w:t>FR: VD_FINDINFO Jug / 2014 / 378 du 6 août 2014</w:t>
      </w:r>
    </w:p>
    <w:p>
      <w:r>
        <w:t>IT: VD_FINDINFO Jug / 2014 / 378 del 6 agosto 2014</w:t>
      </w:r>
    </w:p>
    <w:p>
      <w:pPr>
        <w:pStyle w:val="Heading2"/>
      </w:pPr>
      <w:r>
        <w:t>Regeste</w:t>
      </w:r>
    </w:p>
    <w:p>
      <w:r>
        <w:t>CONSTATATION DES FAITS, INTERDICTION DE L'ARBITRAIRE, APPRÉCIATION DES PREUVES | 398 al. 4 CPP (CH)</w:t>
      </w:r>
    </w:p>
    <w:p>
      <w:pPr>
        <w:pStyle w:val="Heading2"/>
      </w:pPr>
      <w:r>
        <w:t>Erwägungen</w:t>
      </w:r>
    </w:p>
    <w:p>
      <w:r>
        <w:rPr>
          <w:b/>
        </w:rPr>
        <w:t>E. 1.1</w:t>
      </w:r>
    </w:p>
    <w:p>
      <w:r>
        <w:t>Interjeté dans les formes et délais légaux (art. 399 CPP [Code de procédure pénale suisse du 5 octobre 2007; RS 312.0]) contre le jugement du tribunal de première instance ayant clos la procédure (art. 398 al. 1 CPP), l’appel d'T.________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22-23 ad art. 398 CPP). En l’espèce, seule une contravention à la législation sur la circulation routière a fait l’objet de l’accusation et du jugement de première instance, de sorte que l’appel est restreint. Le pouvoir d'examen de l'autorité d'appel est ainsi limité dans l'appréciation des faits à ce qui a été établi de manière arbitraire, la formulation de l'art. 398 al. 4 CPP correspondant à celle de l'art. 97 al. 1 LTF. En revanche, la juridiction d'appel peut revoir librement le droit (cf. TF 6B_1247/2013 du 13 mars 2014 c. 1.2 et les réf. cit).</w:t>
      </w:r>
    </w:p>
    <w:p>
      <w:r>
        <w:rPr>
          <w:b/>
        </w:rPr>
        <w:t>E. 2</w:t>
      </w:r>
    </w:p>
    <w:p>
      <w:r>
        <w:t>L'appelant invoque l'arbitraire dans la constatation des faits.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2.1</w:t>
      </w:r>
    </w:p>
    <w:p>
      <w:r>
        <w:t>L'appelant fait tout d'abord valoir que l'on ignore où le radar était placé. Il relève à cet égard que, selon le plan élaboré par la gendarmerie, le radar se situait au Km 11.380, alors que la photographie du véhicule contrôlé fait état du Km 12.075, de sorte que l'on ne saurait en tirer quelque conclusion que ce soit sur l'emplacement du radar. L'examen du plan fourni par la gendarmerie quant à la description des lieux contient une erreur manifeste. En effet, le même kilométrage est indiqué à la sortie du tunnel de Belmont – où se trouvait le panneau de limitation de vitesse à 80 km/h – ainsi qu'à l'emplacement du radar. Or, celui-ci ne se trouvait pas à la sortie du tunnel, comme l'atteste le plan et les photographies des lieux produites par la gendarmerie. Dans ces circonstances, rien ne permet de douter que le radar se trouvait bien au Km 12.075 et le jugement n'est pas arbitraire sur ce point. Dans la mesure où le kilométrage figurant sur les photographies indique l'emplacement du radar, il n'est pas étonnant que le même kilométrage soit indiqué pour les deux photographies, soit celle prise de face et celle prise par l'arrière, même si les voitures figurant sur les photographies ne sont plus au même endroit une seconde plus tard.</w:t>
      </w:r>
    </w:p>
    <w:p>
      <w:r>
        <w:rPr>
          <w:b/>
        </w:rPr>
        <w:t>E. 2.2</w:t>
      </w:r>
    </w:p>
    <w:p>
      <w:r>
        <w:t>L'appelant soutient ensuite que, s'il avait roulé à 112 km/h et que la Skoda figurant sur le premier cliché circulait à 80 km/h, il aurait dû se trouver, sur la deuxième photographie, devant la Skoda, alors qu'en réalité il se trouve plus en arrière de cette voiture. Il est constant que, sur le premier cliché, pris de face, on ne voit pas la Mercedes. Il est vrai aussi que l'examen des deux clichés pourrait donner à penser, comme le relève l'appelant, que la Skoda roulait plus vite ou au moins à la même vitesse que la Mercedes et on peut se demander si ce n'est pas la Skoda qui a déclenché le radar. Certes, il est possible qu'T.________ ait commis un excès de vitesse, ce d'autant plus qu'il dit ne pas avoir vu le panneau de limitation fixant la vitesse à 80 km/h à cet endroit en raison de travaux. En l'absence de renseignements complémentaires, il est toutefois impossible, sur la simple vue des clichés fournis par la gendarmerie, de dire avec certitude que c'est l'appelant qui roulait à 112km/h et qui a déclenché le radar. Le premier juge ne pouvait donc s'en contenter et aurait dû interpeller le bureau des radars de la Gendarmerie vaudoise pour recueillir ses explications sur ce point et à tout le moins savoir si le conducteur de la Skoda était lui-même en infraction et à quelle vitesse il roulait. Il ne pouvait en tout cas ignorer que des questions se posaient. Dans la mesure où il apparaît que le tribunal a omis de manière arbitraire d'administrer certaines preuves, la juridiction d'appel ne peut ici qu'annuler le jugement attaqué et renvoyer la cause en première instance pour instruction complémentaire et nouveau jugement (Kistler Vianin, op. cit., n. 30 ad art. 398 CPP).</w:t>
      </w:r>
    </w:p>
    <w:p>
      <w:r>
        <w:rPr>
          <w:b/>
        </w:rPr>
        <w:t>E. 3</w:t>
      </w:r>
    </w:p>
    <w:p>
      <w:r>
        <w:t>En définitive, le recours doit être admis et la cause renvoyée au Tribunal de police de l'arrondissement de l'Est vaudois pour qu'il procède dans le sens des considérants. Les frais de la procédure de recours, constitués en l'espèce du seul émolument d'arrêt, par 630 fr. (art. 21 al. 1 TFIP [Tarif cantonal des frais de procédure et indemnités en matière pénale du 28 septembre 2010, RSV 312.03.1]), seront laissés à la charge de l'Etat. S'agissant des dépens réclamés par l'appelant pour compenser le temps consacré à sa défense, il appartiendra le cas échéant à ce dernier d'adresser à la fin de la procédure – pour autant que les conditions de l'octroi d'une indemnité selon l'art. 429 CPP soient alors remplies – ses prétentions à l'autorité compétente (TF 6B_300/2012 du 10 juin 2013 c.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