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371 vom 17. April 2014</w:t>
      </w:r>
    </w:p>
    <w:p>
      <w:r>
        <w:t>VD Tribunal cantonal, 2014-04-17, FR</w:t>
      </w:r>
    </w:p>
    <w:p>
      <w:r>
        <w:rPr>
          <w:b/>
        </w:rPr>
        <w:t xml:space="preserve">Quelle: </w:t>
      </w:r>
      <w:r>
        <w:t>https://mcp.opencaselaw.ch/entscheid/vd_findinfo_Jug___2014___371</w:t>
      </w:r>
    </w:p>
    <w:p>
      <w:r>
        <w:t>FR: VD_FINDINFO Jug / 2014 / 371 du 17 avril 2014</w:t>
      </w:r>
    </w:p>
    <w:p>
      <w:r>
        <w:t>IT: VD_FINDINFO Jug / 2014 / 371 del 17 aprile 2014</w:t>
      </w:r>
    </w:p>
    <w:p>
      <w:pPr>
        <w:pStyle w:val="Heading2"/>
      </w:pPr>
      <w:r>
        <w:t>Regeste</w:t>
      </w:r>
    </w:p>
    <w:p>
      <w:r>
        <w:t>EXCÈS DE VITESSE | 47 CP, 90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I.________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in fine et réf.). Au vu de ces critères, une amende de 2'000 fr., convertible, en cas de non paiement fautif, à 20 jours de peine privative de liberté de substitution à 100 fr. le jour, est adéquate pour sanctionner le comportement du prévenu (art. 47 et 106 CP).</w:t>
      </w:r>
    </w:p>
    <w:p>
      <w:r>
        <w:rPr>
          <w:b/>
        </w:rPr>
        <w:t>E. 3</w:t>
      </w:r>
    </w:p>
    <w:p>
      <w:r>
        <w:t>est toujours applicable lorsque la vitesse maximale autorisée a été dépassée d’au moins 40 km/h, là où la limite était fixée à 30 km/h (let. a), d’au moins 50 km/h, là où la limite était fixée à 50 km/h (let. b), d’au moins 60 km/h, là où la limite était fixée à 80 km/h (let. c), et d’au moins 80 km/h, là où la limite était fixée à plus de 80 km/h (let. d) (art. 90 nLCR al. 4).</w:t>
      </w:r>
    </w:p>
    <w:p>
      <w:r>
        <w:rPr>
          <w:b/>
        </w:rPr>
        <w:t>E. 3.1</w:t>
      </w:r>
    </w:p>
    <w:p>
      <w:r>
        <w:t>Les faits étant postérieurs à l'entrée en vigueur du premier volet "via sicura" s'applique ici l'art. 90 LCR (Loi fédérale sur la circulation routière du 19 décembre 1958; RS 741.01) dans sa nouvelle teneur entrée en vigueur le 1 er janvier 2013, dont les trois alinéas suivants : Celui qui, par une violation grave d'une règle de la circulation, crée un sérieux danger pour la sécurité d'autrui ou en prend le risque est puni d'une peine privative de liberté de trois ans au plus ou d'une peine pécuniaire (art. 90 nLCR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 90 nLCR al. 3). L’al.</w:t>
      </w:r>
    </w:p>
    <w:p>
      <w:r>
        <w:rPr>
          <w:b/>
        </w:rPr>
        <w:t>E. 3.2</w:t>
      </w:r>
    </w:p>
    <w:p>
      <w:r>
        <w:t>Les principes applicables sous l'égide de l'ancien droit étaient fixés par la jurisprudence en ces termes (cf. TF 6B_1011/2013 du 13 mars 2014 c. 2.1) : "L'infraction réprimée par l'art. 90 ch. 2 aLCR (le nouvel art. 90 al. 2 LCR, en vigueur depuis le 1 er janvier 2013, n'est pas plus favorable)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ch. 2 aLCR implique à tout le moins une négligence grossière (ATF 131 IV 133 c. 3.2 p. 136).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 3.1 p. 237 s.; 124 II 259 c.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(cf. arrêt 6B_571/2012 du 8 avril 2013 c. 3.4 et les références citées)". I.________ a été reconnu coupable de violation grave des règles de la circulation routière, ce qui n'est pas remis en cause et doit, au vu des faits retenus et admis par l'appelant, être confirmé.</w:t>
      </w:r>
    </w:p>
    <w:p>
      <w:r>
        <w:rPr>
          <w:b/>
        </w:rPr>
        <w:t>E. 4</w:t>
      </w:r>
    </w:p>
    <w:p>
      <w:r>
        <w:t>I.________ conteste la quotité de la peine infligée dès lors qu'elle aurait été fixée en référence aux nouveaux barèmes contenus à l'art. 90 al. 3 LCR qui consacrent le crime de chauffard, et non pas conformément à la pratique jurisprudentielle demeurant applicable aux autres usagers de la route.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En matière de circulation routière, le Tribunal fédéral a précisé que si le juge pouvait s'aider des recommandations de la conférence des autorités de poursuite pénale de suisse (ci-après : la CAPS) pour exercer son pouvoir d'appréciation, ces recommandations ne pouvaient l'empêcher de se faire en toute indépendance son propre avis sur la peine qui correspond à la culpabilité du condamné et aux autres circonstances pertinentes au regard de l'art. 47 CP (TF 6B_379/2009 du 22 septembre 2009 c. 1.2).</w:t>
      </w:r>
    </w:p>
    <w:p>
      <w:r>
        <w:rPr>
          <w:b/>
        </w:rPr>
        <w:t>E. 4.2</w:t>
      </w:r>
    </w:p>
    <w:p>
      <w:r>
        <w:t>Au vu des arguments de l'appelant, le point qu'il faut trancher est celui de savoir si la jurisprudence consacrée à l'arrêt TF 6B_379/2009 du 22 septembre 2009 susmentionnée continue à s'appliquer telle quelle nonobstant l'adoption des alinéas 3 et 4 de l'art. 90 nLCR ou s'il convient, à tout le moins lorsque l'excès de vitesse est particulièrement grave au point de s'approcher des seuils de l'art. 90 al. 4 nCR, de tenir compte – à la hausse – dans la quotité de la peine, du principe "d'équité qui doit fonder toute décision pénale" comme le précise l'autorité inférieure en page 7 de son jugement. On précise que d'après les recommandations de la CAPS postérieures à l'adoption des dispositions dites "via sicura" (adoptées le 22 février 2013), la peine pour un dépassement équivalent à celui commis par I.________ est de 90 jour-amende, alors que celles antérieures, adoptées le 3 novembre 2006, retenaient, pour le même cas, une peine de 30 jours-amende au moins.</w:t>
      </w:r>
    </w:p>
    <w:p>
      <w:r>
        <w:rPr>
          <w:b/>
        </w:rPr>
        <w:t>E. 4.3</w:t>
      </w:r>
    </w:p>
    <w:p>
      <w:r>
        <w:t>En l'espèce, la culpabilité de I.________ n'est importante qu'au regard de la gravité de l'excès de vitesse. Il n'y a pas d'antécédents. Si la route Lausanne-Berne est dangereuse et qu'un danger a été créé en l'espèce, ce n'est qu'en raison de l'excès de vitesse. Rien ne permet de retenir à charge une configuration particulière ou un comportement du prévenu qui viendrait s'ajouter à la gravité de l'excès de vitesse lui-même. D'après les constatations de la police cantonale, il faisait jour, le temps était beau, le tronçon sur lequel a eu lieu le dépassement de vitesse était rectiligne et peu fréquenté (P. 4). Ainsi, rien ne justifie que l'appelant soit assimilé même indirectement à l'un des chauffards visés par la modification législative entrée en vigueur le 1 er janvier 2013, à l'art. 90 ch. 3 nLCR. L'excès de vitesse commis par I.________ étant encore assez éloigné de ceux "particulièrement importants" mentionnés à l'art. 90 al. 3 nLCR, on ne saurait tirer prétexte de cette disposition exceptionnelle pour s'écarter notablement des décisions rendues ces dernières années dans des cas similaires à celui commis par le prévenu. Au vu des éléments qui précèdent, le prévenu ayant reconnu les faits, une peine pécuniaire de 70 jours-amende paraît adéquate pour sanctionner son comportement. L'appel doit donc être admis sur le principe.</w:t>
      </w:r>
    </w:p>
    <w:p>
      <w:r>
        <w:rPr>
          <w:b/>
        </w:rPr>
        <w:t>E. 5</w:t>
      </w:r>
    </w:p>
    <w:p>
      <w:r>
        <w:t>Vu ses autres revenus et sa fortune, la quotité du jour-amende, fixée à 240 fr., doit être confirmée nonobstant la péjoration de la situation professionnelle du recourant, qui a débuté en 2013 et s'est aggravée en 2014. Elle n'est d'ailleurs pas contestée. Elle est en outre adéquate au vu des principes les principes fixés par la jurisprudence fédérale (TF 6B_217/2007 du 14 avril 2008 et TF 6B_541/2007 du 13 mai 2008).</w:t>
      </w:r>
    </w:p>
    <w:p>
      <w:r>
        <w:rPr>
          <w:b/>
        </w:rPr>
        <w:t>E. 6</w:t>
      </w:r>
    </w:p>
    <w:p>
      <w:r>
        <w:t>Le droit au sursis s'examine selon les critères posés à l'art. 42 CP qui ont été rappelés dans l'arrêt publié aux ATF 135 IV 180 c. 2.1. Il y est renvoyé. Le sursis est désormais la règle dont on ne peut s'écarter qu'en présence d'un pronostic défavorable. Il prime en cas d'incertitude (ATF 134 IV 5 c. 4.2.2). En l'espèce, ni le sursis, dont les conditions objectives et subjectives sont réalisées, ni sa durée, fixée au minimum légal de deux ans (art. 44 CP), ne sont remis en cause. Le jugement doit donc être confirmé sur ces deux points qui échappent à la critique.</w:t>
      </w:r>
    </w:p>
    <w:p>
      <w:r>
        <w:rPr>
          <w:b/>
        </w:rPr>
        <w:t>E. 7</w:t>
      </w:r>
    </w:p>
    <w:p>
      <w:r>
        <w:t>I.________ conteste la quotité de l'amende, fixée sans plus amples motifs à 6'120 fr. par le premier juge. Il demande qu'elle soit réduite dans une mesure fixée à dire de justice.</w:t>
      </w:r>
    </w:p>
    <w:p>
      <w:r>
        <w:rPr>
          <w:b/>
        </w:rPr>
        <w:t>E. 7.1</w:t>
      </w:r>
    </w:p>
    <w:p>
      <w:r>
        <w:t>Conformément à l’art. 42 al. 4 CP, le juge peut prononcer, en plus du sursis une peine pécuniaire sans sursis ou une amende selon l’art. 106 CP. Dans ce contexte, au plan quantitatif, la sanction ferme doit, toutefois, demeurer secondaire par rapport à la peine pécuniaire principale soumise au sursis, dont elle n’est que l’accessoire. Sa fonction consiste, notamment, sous l’angle de la prévention tant générale que spéciale, à renforcer l’effet coercitif modéré de la peine pécuniaire avec sursis, par un signal concret (Denkzettelfunktion). Le juge ne peut donc, par ce biais, contourner le principe de l’octroi du sursis à la peine pécuniaire. Selon la jurisprudence, sous réserve d’exceptions non pertinentes en l’espèce, ces exigences ne sont pas respectées lorsque l’amende excède dans sa quotité 1/5 de la sanction globale, respectivement 1/4 de la peine conditionnée au sursis (CAPE 2 mai 2013/99 c. 5.2 et les références citées).</w:t>
      </w:r>
    </w:p>
    <w:p>
      <w:r>
        <w:rPr>
          <w:b/>
        </w:rPr>
        <w:t>E. 7.2</w:t>
      </w:r>
    </w:p>
    <w:p>
      <w:r>
        <w:t>Dans le cas présent, l'amende ne saurait donc dépasser 4'200 fr. (70 jours X 240 fr. x ¼), de sorte que le montant fixé par le premier juge apparaît excessif et que le grief est fondé. S'agissant plus précisément de la peine d'amende, l'art. 106 al. 3 CP prescrit au juge de fixer celle-ci, ainsi que la peine privative de liberté de substitution, en tenant compte de la situation de l'auteur, afin que la peine corresponde à la faute commise. La situation économique déterminante est celle de l'auteur au moment où l'amende est prononcée (TF 6B_988/2010 du 3 mars 2011 c.</w:t>
      </w:r>
    </w:p>
    <w:p>
      <w:r>
        <w:rPr>
          <w:b/>
        </w:rPr>
        <w:t>E. 8</w:t>
      </w:r>
    </w:p>
    <w:p>
      <w:r>
        <w:t>En définitive, l'appel de I.________ doit être admis et le jugement attaqué réformé dans le sens des considérants.</w:t>
      </w:r>
    </w:p>
    <w:p>
      <w:r>
        <w:rPr>
          <w:b/>
        </w:rPr>
        <w:t>E. 9</w:t>
      </w:r>
    </w:p>
    <w:p>
      <w:r>
        <w:t>I.________ demande que les frais soient laissés à la charge de l'Etat et qu'une indemnité de 4'500 fr., lui soit allouée, à la charge du Ministère public, pour ses frais de défense. Succombant à l'action pénale, c'est à juste titre que I.________ a été chargé des frais de première instance (550 fr.), réduits de moitié pour tenir compte de la brièveté de l'audience (jugement p. 9). Vu le résultat positif de l'appel (réduction de la quotité de la peine et du montant de l'amende), les frais de seconde instance peuvent être laissés à la charge de l'Etat (art. 423 al. 1 CPP). L'intéressé ayant été condamné (cf. ch. I du dispositif) et la réduction de peine obtenue en appel ne correspondant pas à un acquittement total ou partiel, les réquisits de l'art. 429 al. 1 let. a CPP ne sont pas réunis et le droit à une indemnité pour frais de défense n'est pas 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