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 vom 9. September 2013</w:t>
      </w:r>
    </w:p>
    <w:p>
      <w:r>
        <w:t>VD Tribunal cantonal, 2013-09-09, FR</w:t>
      </w:r>
    </w:p>
    <w:p>
      <w:r>
        <w:rPr>
          <w:b/>
        </w:rPr>
        <w:t xml:space="preserve">Quelle: </w:t>
      </w:r>
      <w:r>
        <w:t>https://mcp.opencaselaw.ch/entscheid/vd_findinfo_Jug___2014___37</w:t>
      </w:r>
    </w:p>
    <w:p>
      <w:r>
        <w:t>FR: VD_FINDINFO Jug / 2014 / 37 du 9 septembre 2013</w:t>
      </w:r>
    </w:p>
    <w:p>
      <w:r>
        <w:t>IT: VD_FINDINFO Jug / 2014 / 37 del 9 settembre 2013</w:t>
      </w:r>
    </w:p>
    <w:p>
      <w:pPr>
        <w:pStyle w:val="Heading2"/>
      </w:pPr>
      <w:r>
        <w:t>Regeste</w:t>
      </w:r>
    </w:p>
    <w:p>
      <w:r>
        <w:t>VOL{DROIT PÉNAL}, IN DUBIO PRO REO | 139 ch. 1 CP</w:t>
      </w:r>
    </w:p>
    <w:p>
      <w:pPr>
        <w:pStyle w:val="Heading2"/>
      </w:pPr>
      <w:r>
        <w:t>Erwägungen</w:t>
      </w:r>
    </w:p>
    <w:p>
      <w:r>
        <w:rPr>
          <w:b/>
        </w:rPr>
        <w:t>E. 4</w:t>
      </w:r>
    </w:p>
    <w:p>
      <w:r>
        <w:t>Le Ministère public fait valoir qu’il y a récidive en matière d’infraction à la LCR (Loi fédérale sur la circulation routière du 19 décembre 1958 ; RS 741.01) et soutient que le sursis accordé le 31 octobre 2008 doit dès lors être révoqué.</w:t>
      </w:r>
    </w:p>
    <w:p>
      <w:r>
        <w:rPr>
          <w:b/>
        </w:rPr>
        <w:t>E. 4.1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(al. 2).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(ibid.,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L’inverse est également admissible : si le sursis précédent est révoqué, l’exécution de la peine qui en était assortie peut conduire à nier l’existence d’un pronostic défavorable pour la nouvelle peine et, partant, à assortir cette dernière du sursis (ibid.,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sûr ce point, de manière à ce que l’intéressé puisse au besoin la contester utilement et l’autorité de recours exercer son contrôle (TF 68_855/2010 du 7 avril 2011 c. 2.2).</w:t>
      </w:r>
    </w:p>
    <w:p>
      <w:r>
        <w:rPr>
          <w:b/>
        </w:rPr>
        <w:t>E. 4.2</w:t>
      </w:r>
    </w:p>
    <w:p>
      <w:r>
        <w:t>En l’occurrence, le grief du Parquet repose sur la prémisse de l’admission de son précédent moyen, de sorte qu’il devient sans objet. Il est cependant vrai que le prévenu a commis un vol, soit un délit, en 2012, dans le délai d’épreuve accordé le 31 octobre 2008. La révocation du sursis est par conséquent possible. Le Tribunal de police a cependant renoncé à révoquer ce sursis au motif que l’infraction commise était sans rapport avec la précédente condamnation (jgt., pp. 20-21). L’appelant ne remet pas en cause ce raisonnement qui peut être suivi.</w:t>
      </w:r>
    </w:p>
    <w:p>
      <w:r>
        <w:rPr>
          <w:b/>
        </w:rPr>
        <w:t>E. 5</w:t>
      </w:r>
    </w:p>
    <w:p>
      <w:r>
        <w:t>Le genre et la quotité de la peine prononcée sont contestés, tant par le Ministère public que par le prévenu. Le Ministère public estime qu’au vu des infractions commises et des antécédents de N.________, la peine prononcée devrait être privative de liberté. Il relève qu’une précédente peine pécuniaire n’avait pas eu d’effet dissuasif et que le pronostic serait défavorable, de sorte que la sanction ne devrait pas être assortie du sursis. Quant à N.________, il conteste la quotité de la peine prononcée qu’il estime disproportionnée au vu de sa culpabilité et conclut au prononcé d’une peine de 5 jours-amende, le montant du jour-amende étant maintenu à 40 francs.</w:t>
      </w:r>
    </w:p>
    <w:p>
      <w:r>
        <w:rPr>
          <w:b/>
        </w:rPr>
        <w:t>E. 5.1</w:t>
      </w:r>
    </w:p>
    <w:p>
      <w:r>
        <w:t>a) L'art. 47 CP dispose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 2.1; ATF 134 IV 17 c. 2.1; ATF 129 IV 6 c. 6.1). b)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6B_128/2011 du 14 juin 2011 c. 3.1). c) 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 juge peut prononcer, en plus du sursis, une peine pécuniaire sans sursis ou une amende selon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 7.3.1). L’amende infligée au condamné poursuit ainsi les mêmes buts qu’une peine privative de liberté : l’amendement du coupable, l’expiation de la faute et un effet de prévention générale (Favre/Pellet/Stoudmann, Code pénal annoté, 3 ème éd. 2007, n. 3.2 ad art. 106 CP).</w:t>
      </w:r>
    </w:p>
    <w:p>
      <w:r>
        <w:rPr>
          <w:b/>
        </w:rPr>
        <w:t>E. 5.2</w:t>
      </w:r>
    </w:p>
    <w:p>
      <w:r>
        <w:t>En l’espèce, le grief du Ministère public s’agissant du genre de la peine se fonde sur la prémisse de l’admission de son grief principal. Son rejet rend ainsi ce moyen sans objet. Le prévenu s’est rendu coupable de vol au sens de l’art. 139 ch. 1 CP. Cette disposition prévoit que l’auteur de cette infraction est puni d’une peine privative de liberté de cinq ans au plus ou d’une peine pécuniaire. Le tribunal de police a considéré que le comportement du prévenu était « fort peu reluisant », que les vols en grande surface contraignaient les détaillants à mettre en place de coûteux dispositifs de surveillance, ce qui provoquait l’augmentation des prix au détriment de tous les consommateurs. Il a rappelé que le prévenu n’avait pas hésité à agir alors qu’il avait déjà plusieurs condamnations pénales à son passif, et qu’il était donc inexcusable. A décharge, il a retenu que le butin dépassait de peu le seuil de l’infraction d’importance mineure, et que le prévenu avait eu des difficultés financières à la naissance de ses jumeaux. Il a estimé que le pronostic était favorable, les antécédents pénaux étant d’un genre différent et le prévenu ayant acquis situation professionnelle stable et sens des responsabilités, de sorte que la peine pouvait être assortie du sursis, avec un délai d’épreuve de deux ans. A titre de sanction immédiate, le premier juge a infligé au prévenu une amende de 800 fr., la peine privative de liberté de substitution étant fixée à 20 jours (jgt., p. 20). La Cour de céans retient en outre à décharge le fait que le magasin [...] n’a pas déposé de plainte pénale à l’encontre de N.________, que pris en flagrant délit, ce dernier a immédiatement payé la marchandise soustraite – soit des produits de consommation courante notamment pour ses enfants - ainsi qu’une « amende » encaissée par le personnel de sécurité (dossier B, P. 4/1 et 6), de sorte que les frais de surveillance sont ici indemnisés. Le prévenu a tout de suite déclaré que c’était la première fois qu’il agissait de la sorte et qu’il avait honte (dossier B, P. 6). A l’époque, il était sans travail et dans l’attente du premier versement de l’assurance chômage, vivant de ses économies (dossier B, P. 8). Enfin, le père de N.________, entendu comme témoin aux débats de première instance, a affirmé que ce dernier menait une vie exemplaire depuis plus de deux ans (jgt., p. 11). Compte tenu des éléments à charge et à décharge évoqués ci-dessus, la Cour de céans retient que la culpabilité de N.________ est modérée. Une peine de 10 jours-amende à 40 fr. est adéquate au regard de l’infraction commise, de la culpabilité de l’appelant et de sa situation personnelle. S’agissant de l’octroi du sursis, le grief du Ministère public reposant encore une fois sur la prémisse de l’admission de ses précédents moyens, est sans objet. Le pronostic étant favorable, la peine doit être assortie du sursis pendant trois ans. Enfin, le prévenu ayant réparé le dommage causé et exprimé des regrets, aucun motif de prévention ne justifie d’ajouter une amende à titre de sanction immédiate. Il convient dès lors de réformer le jugement de première instance dans ce sens.</w:t>
      </w:r>
    </w:p>
    <w:p>
      <w:r>
        <w:rPr>
          <w:b/>
        </w:rPr>
        <w:t>E. 7</w:t>
      </w:r>
    </w:p>
    <w:p>
      <w:r>
        <w:t>En définitive, l’appel du Ministère public de l’arrondissement de La Côte est rejeté. L’appel joint déposé par N.________ est partiellement admis, en ce sens que la peine prononcée à son encontre est réduite à 10 jours-amende à 40 francs. Le jugement du Tribunal de police rendu le 9 septembre 2013 est modifié dans le sens des considérants.</w:t>
      </w:r>
    </w:p>
    <w:p>
      <w:r>
        <w:rPr>
          <w:b/>
        </w:rPr>
        <w:t>E. 8</w:t>
      </w:r>
    </w:p>
    <w:p>
      <w:r>
        <w:t>Vu l'issue de la cause, les frais d'appel doivent être laissés à la charge de l’Etat (art. 428 al. 1 CPP). Ces frais sont constitués d’un émolument de 2'240 fr. (art. 21 al. 1 et 2 TFJP [Tarif des frais judiciaires pénaux du 28 septembre 2010, RSV 312.03.1]) et de l’indemnité allouée au défenseur de N.________. Le conseil du prévenu a indiqué avoir consacré 10h30 à l’exercice de son mandat en procédure d’appel. Il a en outre mentionné un montant de 340 fr. - dont 306 fr. de frais de déplacements - à titre de débours (P. 45).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S’agissant des frais de déplacement, ceux-ci sont indemnisés forfaitairement à concurrence de 120 fr. pour les avocats et de 80 fr. pour les avocats stagiaires, ce forfait valant pour tout le canton et couvrant autant les kilomètres que le temps du déplacement aller et retour (Juge unique CREP du 11 juin 2013/375; Juge unique CREP du 26 décembre 2012/844 c. 3c/bb; Note 6.6 du Procureur général sur la fixation et le calcul des indemnités des conseils d'office du 17 janvier 2012). Il y a également lieu de préciser que les frais courants, notamment de photocopies et de téléphones, font partie des frais généraux de l'avocat et ne peuvent en principe être facturés en sus (CAPE 1 er juillet 2013/139). Il est en revanche admis que les frais de port font partie des débours, dès lors qu'ils correspondent à une opération déterminée ayant provoqué une dépense précise et que de tels frais ont été détaillés (CREC, 8 décembre 2009, n. 248/II). Au vu de ce qui précède et compte tenu de la nature de la cause et des opérations nécessaires pour la défense des intérêts du prévenu, il convient d’allouer à Me Mathias Eusebio une indemnité de 1'890 fr., correspondant à 10h30 consacrées à l’exercice de son mandat, à laquelle il y a lieu d’ajouter un montant forfaitaire de 120 fr. à titre de vacation et de 50 fr. à titre de débours, en sus de la TVA par 164 fr. 80, soit un montant total de 2’224 fr. 80,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