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360 vom 24. Juni 2014</w:t>
      </w:r>
    </w:p>
    <w:p>
      <w:r>
        <w:t>VD Tribunal cantonal, 2014-06-24, FR</w:t>
      </w:r>
    </w:p>
    <w:p>
      <w:r>
        <w:rPr>
          <w:b/>
        </w:rPr>
        <w:t xml:space="preserve">Quelle: </w:t>
      </w:r>
      <w:r>
        <w:t>https://mcp.opencaselaw.ch/entscheid/vd_findinfo_Jug___2014___360</w:t>
      </w:r>
    </w:p>
    <w:p>
      <w:r>
        <w:t>FR: VD_FINDINFO Jug / 2014 / 360 du 24 juin 2014</w:t>
      </w:r>
    </w:p>
    <w:p>
      <w:r>
        <w:t>IT: VD_FINDINFO Jug / 2014 / 360 del 24 giugno 2014</w:t>
      </w:r>
    </w:p>
    <w:p>
      <w:pPr>
        <w:pStyle w:val="Heading2"/>
      </w:pPr>
      <w:r>
        <w:t>Regeste</w:t>
      </w:r>
    </w:p>
    <w:p>
      <w:r>
        <w:t>FIXATION DE LA PEINE, DIRECTIVE{INJONCTION}, SURSIS À L'EXÉCUTION DE LA PEINE, TORT MORAL, FAUTE DU TIERS, FAUTE PROPRE | 44 al. 1 CO, 47 CO, 44 al. 2 CP, 47 CP</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l’appel du Ministère public et celui d’A.J.________, de N.________ et B.J.________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Le Ministère public estime que la quotité de la peine infligée au prévenu est trop clémente.</w:t>
      </w:r>
    </w:p>
    <w:p>
      <w:r>
        <w:rPr>
          <w:b/>
        </w:rPr>
        <w:t>E. 3.1</w:t>
      </w:r>
    </w:p>
    <w:p>
      <w:r>
        <w:t>Pour fixer le nombre de jours-amende, le juge se fonde sur la culpabilité de l’auteur (art. 34 al. 1 CP). Pour ce faire, il se référera aux critères posés à l’art. 47 CP. Il tiendra compte des antécédents et de la situation personnelle de l’auteur ainsi que de l’effet de la peine sur l’avenir de celui-ci (art. 47 al. 1 CP). L’alinéa 2 de cette disposition énumère une série de critères à prendre en considération pour déterminer la culpabilité (ATF 134 IV 17 c. 2.1 et les références citées).</w:t>
      </w:r>
    </w:p>
    <w:p>
      <w:r>
        <w:rPr>
          <w:b/>
        </w:rPr>
        <w:t>E. 3.2</w:t>
      </w:r>
    </w:p>
    <w:p>
      <w:r>
        <w:t>En l’espèce, la culpabilité du prévenu ne saurait être considérée comme légère, ce dernier ayant violé plusieurs règles de la circulation routière. Il a en effet circulé à une vitesse inadaptée aux circonstances, était inattentif et a conduit sous l’effet du cannabis. Il faut également tenir compte du concours entre les délits d’homicide par négligence et de conduite en état d’incapacité. De plus, l’intéressé, qui a déclaré ne pas savoir s’il avait quelque chose à se reprocher et pensait rouler normalement, ne semble pas avoir pris conscience de la gravité de ses fautes. Il n’a pas eu le courage de se présenter à la famille pour leur adresser des excuses; il ne leur a pas écrit non plus. Il s’est certes excusé devant les premiers juges, mais ses excuses, tardives, étaient surtout destinées à se plaindre des conséquences de ses actes sur son propre sort. Jusqu’à ce jour, il n’a pas tenté de réparer le préjudice financier des lésés, et ce n’est qu’en appel que ce dernier, interpellé par la Cour, a accepté de rembourser régulièrement sa dette pour tort moral. Jusqu’à cet été, sa situation personnelle n’était pas reluisante : né en 1992, le prévenu n’avait pas d’emploi, n’avait toujours pas trouvé d’apprentissage et dépendait des services sociaux. Quant à son casier judiciaire, il mentionne une condamnation, notamment pour vol, le 22 septembre 2009, par le Tribunal des mineurs. Le comportement du prévenu, qui s’est immédiatement rendu auprès du blessé pour lui porter secours suite à l’accident, ne constitue pas un élément ayant un poids particulier à décharge, tant il est normal et conforme à la loi. Au regard de l’ensemble de ces éléments, la peine infligée en première instance apparaît trop clémente. En définitive, une peine de 210 jours-amende, telle que requise par le Ministère public, réprime adéquatement les agissements du prévenu. Compte tenu de la situation financière actuelle de l’intéressé, notamment d’un salaire mensuel net de 4'500 fr. et de ses charges, le montant du jour-amende arrêté en première instance doit être confirmé.</w:t>
      </w:r>
    </w:p>
    <w:p>
      <w:r>
        <w:rPr>
          <w:b/>
        </w:rPr>
        <w:t>E. 4</w:t>
      </w:r>
    </w:p>
    <w:p>
      <w:r>
        <w:t>S’agissant de la question du sursis, l’intimé ne semble pas avoir pris pleinement conscience de la gravité de ses fautes. Cela étant, à l’exception d’une condamnation prononcée alors qu’il était mineur, il n’a pas d’antécédent; il a récemment trouvé un emploi et a commencé à rembourser certaines de ses dettes; enfin, il s’est engagé à réparer le préjudice financier à l’égard de la mère du défunt. Cela indique que celui-ci souhaite enfin sortir de l’oisiveté dans laquelle il semblait se complaire. Toutefois, afin que le prévenu prenne pleinement conscience de ses responsabilités et, par conséquent, pour prévenir tout risque de récidive, le sursis doit être subordonné à la condition que ce dernier respecte son engagement financier à l’égard de la lésée (cf. art. 44 al. 2 CP; ATF 130 IV 1 c. 2.1; ATF 106 IV 325 c. 1).</w:t>
      </w:r>
    </w:p>
    <w:p>
      <w:r>
        <w:rPr>
          <w:b/>
        </w:rPr>
        <w:t>E. 5</w:t>
      </w:r>
    </w:p>
    <w:p>
      <w:r>
        <w:t>Les parties plaignantes ont conclu à l’octroi de la somme de 25'000 fr. pour A.J.________, de 15'000 fr. pour N.________ et de 15'000 fr. pour B.J.________, à titre de réparation du tort moral. Elles font valoir que l’indemnité allouée à la mère du défunt est trop modeste et que le frère et la sœur ont également droit à une réparation morale. Elles contestent en outre toute faute concomitante de la victime.</w:t>
      </w:r>
    </w:p>
    <w:p>
      <w:r>
        <w:rPr>
          <w:b/>
        </w:rPr>
        <w:t>E. 5.1.1</w:t>
      </w:r>
    </w:p>
    <w:p>
      <w:r>
        <w:t>Aux termes de l’art. 47 CO, le juge peut,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 2a). Pour la perte d’un enfant mineur, les tribunaux allouent généralement à chacun des deux parents une indemnité de 30’000 fr. (cf. Hütte/Ducksch/Guerrero, Die Genugtuung, Eine tabellarische Übersicht über Gerichtsentscheide, 3 ème éd., état août 2005, affaires jugées en 2001 ou 2002, III/3 à III/4; affaires jugées de 2003 à 2005, III/4 à III/6). Des montants supérieurs ont parfois été accordés à des mères de jeunes enfants qui avaient assisté à l’accident, notamment à celle d’un enfant de deux ans et demi, qui s’était, en plus, intensivement occupé de celui-ci durant les neuf mois qui s’étaient écoulés entre l’accident et le décès (cf. Hütte/Ducksch/Guerrero, op. cit., affaires jugées en 2001 et 2002, III/6). Les frères et soeurs comptent parmi les membres de la famille qui peuvent prétendre à une indemnité pour tort moral (ATF 118 II 404 c. 3b/cc). Ce droit dépend cependant des circonstances. À cet égard, le fait que la victime vivait sous le même toit que le frère ou la soeur revêt une grande importance. En principe, un frère ou une soeur a droit à une indemnité si la victime vivait sous le même toit. En revanche, un frère ou une soeur qui ne faisait plus ménage commun avec la victime n’a droit à une indemnité pour tort moral que si il ou elle entretenait des rapports étroits avec cette dernière et si, en outre, la disparition de celle-ci lui a causé une douleur qui sort de l’ordinaire (ATF 89 Il 396 c. 3; TF 6S.700/2001 du 7 novembre 2002 c. 4.3, publié in Pra 2003 n. 122 p. 652, avec les références). Sauf circonstances spécifiques très exceptionnelles, le montant de l’indemnité allouée à un frère ou à une soeur n’excède pas 10’000 fr. (cf. Hütte/Ducksch/Guerrero, op. cit., affaires jugées en 2001 et 2002, V/1 à V/4; affaires jugées de 2003 à 2005, V/1 à V/4).</w:t>
      </w:r>
    </w:p>
    <w:p>
      <w:r>
        <w:rPr>
          <w:b/>
        </w:rPr>
        <w:t>E. 5.1.2</w:t>
      </w:r>
    </w:p>
    <w:p>
      <w:r>
        <w:t>Aux termes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(TF 6B_246/2012 du 10 juillet 2012 c. 3.2.1 et les références citées).</w:t>
      </w:r>
    </w:p>
    <w:p>
      <w:r>
        <w:rPr>
          <w:b/>
        </w:rPr>
        <w:t>E. 5.2.1</w:t>
      </w:r>
    </w:p>
    <w:p>
      <w:r>
        <w:t>En l’espèce, la victime, née en 1957, s’était aménagée un appartement dans une dépendance à l’arrière de la maison occupée par sa mère, très âgée. C.J.________ avait très peu de relations sociales mais un contact journalier avec celle-ci, avec qui il avait un lien fort. En particulier, il l’aidait dans ses tâches quotidiennes et assumait l’entretien de la maison familiale. A.J.________ a vécu douloureusement le décès de son fils, au point qu’elle n’a pas eu la force de se présenter aux audiences des débats. Il faut ainsi admettre qu’elle a subi un tort moral justifiant une réparation financière, ce qui n’est au demeurant pas contesté par la défense. Il n’en va pas de même pour les frère et sœur de la victime. En effet, si la douleur éprouvée par B.J.________, perceptible à l’audience d’appel, ne saurait être niée, il faut constater que l’intensité de leurs relations avec le défunt n’a pas été établie. Or, conformément à la maxime des débats – applicable s’agissant des conclusions civiles –, il leur appartenait de rapporter la preuve de ce fait. Quoi qu’il en soit, compte tenu de l’âge de la victime et du fait que ses frère et sœur n’avaient des contacts avec elle qu’au travers de leur mère (ceux-ci voyaient leur frère lorsqu’ils rendaient visite à leur mère, soit « de temps en temps » selon les dires de cette dernière, cf. PV aud. 4 et jgt., p. 7), N.________ et B.J.________ ne sauraient prétendre à une réparation morale.</w:t>
      </w:r>
    </w:p>
    <w:p>
      <w:r>
        <w:rPr>
          <w:b/>
        </w:rPr>
        <w:t>E. 5.2.2</w:t>
      </w:r>
    </w:p>
    <w:p>
      <w:r>
        <w:t>S’agissant du montant de l’indemnité à allouer à A.J.________, avec les premiers juges, il faut retenir une faute concomitante de la victime. En effet, celle-ci, qui cheminait de nuit, sur une route cantonale, à 40 centimètres du bord droit de la chaussée, munie d’un casque audio et habillée de sombre, ne s’est pas conformée aux devoirs de prudence élémentaires que lui imposaient les circonstances. Compte tenu de cette légère faute, une indemnité de 15'000 fr. apparaît adéquate. Enfin, les faits étant récents, un intérêt compensatoire ne se justifie pas.</w:t>
      </w:r>
    </w:p>
    <w:p>
      <w:r>
        <w:rPr>
          <w:b/>
        </w:rPr>
        <w:t>E. 6</w:t>
      </w:r>
    </w:p>
    <w:p>
      <w:r>
        <w:t>En définitive, l’appel du Ministère public doit être admis et celui des parties plaignantes partiellement admis. Le jugement entrepris sera réformé dans le sens des considérants qui précèdent. Le chiffre II du dispositif communiqué après l’audience d’appel est incomplet dans la mesure où il ne précise pas que le condamné est le débiteur d’A.J.________ de la somme de 15'000 fr., valeur échue, à titre de tort moral . Ce point doit par conséquent être complété d’office, en application de l’art. 83 CPP.</w:t>
      </w:r>
    </w:p>
    <w:p>
      <w:r>
        <w:rPr>
          <w:b/>
        </w:rPr>
        <w:t>E. 7</w:t>
      </w:r>
    </w:p>
    <w:p>
      <w:r>
        <w:t>Vu l’issue de la cause, les frais de la présente procédure, constitués du seul émolument d’arrêt, par 1’910 fr., doivent être mis par deux tiers à la charge de Z.________, le solde étant laissé à la charge de l’Etat. Les parties plaignantes ayant obtenu partiellement gain de cause, elles ont droit à une juste indemnité pour les dépenses occasionnées par la présente procédure (cf. art. 433 al. 1 let. a CPP). C’est donc un montant de 1’200 fr., correspondant à un tiers de la somme réclamée selon la liste d’opérations produite (P. 79), qui doit leur être alloué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