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358 vom 10. Juli 2014</w:t>
      </w:r>
    </w:p>
    <w:p>
      <w:r>
        <w:t>VD Tribunal cantonal, 2014-07-10, FR</w:t>
      </w:r>
    </w:p>
    <w:p>
      <w:r>
        <w:rPr>
          <w:b/>
        </w:rPr>
        <w:t xml:space="preserve">Quelle: </w:t>
      </w:r>
      <w:r>
        <w:t>https://mcp.opencaselaw.ch/entscheid/vd_findinfo_Jug___2014___358</w:t>
      </w:r>
    </w:p>
    <w:p>
      <w:r>
        <w:t>FR: VD_FINDINFO Jug / 2014 / 358 du 10 juillet 2014</w:t>
      </w:r>
    </w:p>
    <w:p>
      <w:r>
        <w:t>IT: VD_FINDINFO Jug / 2014 / 358 del 10 luglio 2014</w:t>
      </w:r>
    </w:p>
    <w:p>
      <w:pPr>
        <w:pStyle w:val="Heading2"/>
      </w:pPr>
      <w:r>
        <w:t>Regeste</w:t>
      </w:r>
    </w:p>
    <w:p>
      <w:r>
        <w:t>DEMANDE ADRESSÉE À L'AUTORITÉ, RÉVISION{DÉCISION}, MOTIF DE RÉVISION, ADMISSION PARTIELLE | 410 CPP (CH), 413 al. 2 CPP (CH)</w:t>
      </w:r>
    </w:p>
    <w:p>
      <w:pPr>
        <w:pStyle w:val="Heading2"/>
      </w:pPr>
      <w:r>
        <w:t>Erwägungen</w:t>
      </w:r>
    </w:p>
    <w:p>
      <w:r>
        <w:rPr>
          <w:b/>
        </w:rPr>
        <w:t>E. 1</w:t>
      </w:r>
    </w:p>
    <w:p>
      <w:r>
        <w:t>La demande de révision doit être motivée et adressée par écrit à la juridiction d’appel, les motifs de révision devant être exposés et justifiés dans la demande (art. 411 al. 1 CPP). A l’exception d’une demande de révision visée par l’art. 410 al. 1 let. b et al. 2 CPP, la demande fondée sur les autres cas n’est soumise à aucun délai (art. 411 al. 2 CPP). Sont légitimées à demander la révision les parties énumérées aux art. 381 et 382 CPP, à savoir toute personne qui a un intérêt juridiquement protégé à l’annulation ou la modification de la décision (Rémy in : Kuhn/Jeanneret [éd.], Commentaire romand, Code de procédure pénale suisse, 2011, n.7 ad art. 410 CPP ; Fingerhuth in : Donatsch/Hansjakob/Lieber [éd.], Kommentar zur Schweizerischen Strafprozessordnung, 2010, n. 47 ad. art. 410 CPP). En l’occurrence, la requête déposée par P.________, demandeur au pénal et au civil, remplit les exigences de forme, de sorte qu’il y a lieu d’entrer en matière. Dans cette mesure, la procédure écrite est applicable (art. 412 al. 1 in fine CPP).</w:t>
      </w:r>
    </w:p>
    <w:p>
      <w:r>
        <w:rPr>
          <w:b/>
        </w:rPr>
        <w:t>E. 2.1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Cette disposition reprend la double exigence posée à l'art. 385 CP selon laquelle les faits ou moyens de preuve invoqués doivent être nouveaux et sérieux (Message du Conseil fédéral relatif à l'unification de la procédure pénale du 21 décembre 2005, FF 2006 II 1057 ss, spéc. 1303 ; TF 6B_310/2011 c. 1.2 et les références citées). Les faits ou moyens de preuve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 1 ; TF 6B_310/2011 du 20 juin 2011 c. 1.2).</w:t>
      </w:r>
    </w:p>
    <w:p>
      <w:r>
        <w:rPr>
          <w:b/>
        </w:rPr>
        <w:t>E. 2.2</w:t>
      </w:r>
    </w:p>
    <w:p>
      <w:r>
        <w:t>L'art. 410 al. 1 let. c CPP fonde un motif de révision s'il est établi dans une autre procédure pénale que le résultat de la procédure a été influencé par une infraction, une condamnation n'étant pas exigée comme preuve ; si la procédure pénale ne peut être exécutée, la preuve peut être apportée d'une autre manière. Il n’est donc pas nécessaire que l’infraction ayant influencé le résultat de la procédure ait été constatée par un jugement pénal dans la mesure où un lien de causalité entre le jugement attaqué et l’infraction n’est pas une condition indispensable (Moreillon/Parein-Reymond, Petit Commentaire du Code de procédure pénale, Bâle 2013, nn. 28-30 ad art. 410 CPP).</w:t>
      </w:r>
    </w:p>
    <w:p>
      <w:r>
        <w:rPr>
          <w:b/>
        </w:rPr>
        <w:t>E. 2.3</w:t>
      </w:r>
    </w:p>
    <w:p>
      <w:r>
        <w:t>En l’espèce, la découverte que le récépissé postal produit par la prévenue lors des débats de première instance est un faux constitue un fait nouveau. Ce fait est également sérieux dès lors qu’il a eu une incidence non seulement sur la condamnation de la prévenue, mais également au plan des conclusions civiles de la partie plaignante. Il n’est en effet pas douteux que le constat de culpabilité aurait été différent si le Tribunal de police avait eu à juger d’une prévenue qui n’aurait pas dédommagé l’un des plaignants ; on peinerait sinon à comprendre comment la circonstance atténuante tirée du repentir sincère aurait pu s’appliquer. Or il s’avère que le premier juge a tenu compte de l’existence de cette circonstance atténuante qui a eu une influence directe sur la peine puisqu’il s’agit là d’un élément à décharge légal conformément à l’art. 48 al. 1 let. d CP. Quant au pronostic relatif au comportement futur du condamné (art. 42 CP), il aurait également pu apparaître défavorable eu égard au faux récépissé postal. Enfin, sans la production de ce faux, il aurait été donné droit aux conclusions civiles du plaignant. Au demeurant, il est manifeste que le résultat de la procédure de jugement de première instance a été influencé par une infraction, soit un faux dans les titres au sens de l’art. 251 CP. Il s’ensuit que la demande de révision de P.________ doit être admise, les conditions de l’art. 410 al. 1 let. a et c CPP étant remplies.</w:t>
      </w:r>
    </w:p>
    <w:p>
      <w:r>
        <w:rPr>
          <w:b/>
        </w:rPr>
        <w:t>E. 3</w:t>
      </w:r>
    </w:p>
    <w:p>
      <w:r>
        <w:t>Conformément à l’art. 413 al. 2 CPP, lorsque la juridiction d’appel admet la demande de révision, elle annule partiellement ou entièrement la décision attaquée. De plus, elle renvoie la cause pour nouveau traitement et nouveau jugement à l’autorité qu’elle désigne (let. a) ou rend elle-même une nouvelle décision si l’état du dossier le permet (let. b). Dans le présent cas, l’admission de la demande de révision implique qu’une nouvelle peine soit fixée et que la question du pronostic soit à nouveau discutée, de même que l’opportunité d’un traitement psychothérapeutique et la révocation du précédent sursis ; la question des conclusions civiles doit également être réexaminée. Le bénéfice de la double instance, tout comme l’économie de procédure, commandent d’annuler et de renvoyer. Il serait du reste opportun que le jugement partiellement annulé et l’enquête actuellement instruite fassent l’objet d’un seul et même jugement. Par conséquent, il convient d’annuler partiellement le jugement et renvoyer la cause devant le Tribunal de l’arrondissement de l’Est vaudois pour nouvelle instruction et nouveau jugement dans le sens des considérants (art. 413 al. 3 CPP).</w:t>
      </w:r>
    </w:p>
    <w:p>
      <w:r>
        <w:rPr>
          <w:b/>
        </w:rPr>
        <w:t>E. 4</w:t>
      </w:r>
    </w:p>
    <w:p>
      <w:r>
        <w:t>En définitive, la demande de révision déposée par P.________ est admise. Le jugement du 10 juillet 2014 doit être partiellement annulé, savoir à ses chiffres I, II, III, IV, V et VI pour conférer à l’autorité de jugement toute la latitude voulue et dans l’optique d’une jonction des causes avec la nouvelle enquête actuellement en cours d’instruction. Quant aux chiffres VII et VIII qui concernent les frais de la cause et la référence au plaideur indigent (art. 135 al. 4 CPP), ils ne sont pas modifiés par l’admission de la demande de révision et doivent être confirmés. Vu l’issue de la cause, les frais de révision, par 770 fr. (art. 21 TFIP [tarif des frais de procédure et indemnités en matière pénale du 28 septembre 2010 ; RSV 312.03.1], par renvoi de l'art. 22 TFIP) seront mis à la charge de D.________,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