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357 vom 12. November 2014</w:t>
      </w:r>
    </w:p>
    <w:p>
      <w:r>
        <w:t>VD Tribunal cantonal, 2014-11-12, FR</w:t>
      </w:r>
    </w:p>
    <w:p>
      <w:r>
        <w:rPr>
          <w:b/>
        </w:rPr>
        <w:t xml:space="preserve">Quelle: </w:t>
      </w:r>
      <w:r>
        <w:t>https://mcp.opencaselaw.ch/entscheid/vd_findinfo_Jug___2014___357</w:t>
      </w:r>
    </w:p>
    <w:p>
      <w:r>
        <w:t>FR: VD_FINDINFO Jug / 2014 / 357 du 12 novembre 2014</w:t>
      </w:r>
    </w:p>
    <w:p>
      <w:r>
        <w:t>IT: VD_FINDINFO Jug / 2014 / 357 del 12 novembre 2014</w:t>
      </w:r>
    </w:p>
    <w:p>
      <w:pPr>
        <w:pStyle w:val="Heading2"/>
      </w:pPr>
      <w:r>
        <w:t>Regeste</w:t>
      </w:r>
    </w:p>
    <w:p>
      <w:r>
        <w:t>IN DUBIO PRO REO, PEINE PRIVATIVE DE LIBERTÉ | 41 al. 1 CP, 41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toute implication dans les faits qui lui sont reprochés et impute le vol à deux autres personnes, à savoir son beau-fils, S.________, et H.________.</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En l’espèce, entendu par la police le 21 février 2011, le témoin C.________ a donné des explications claires et précises quant aux auteurs du vol, au véhicule utilisé et au mode opératoire (PV aud. 1). Deux jours après son audition, ce témoin a formellement identifié sur planche photo l’un des auteurs, soit X.________ (PV aud. 2). Devant le premier juge, il a confirmé ses déclarations et a reconnu une nouvelle fois le prévenu (jgt., p. 4). Son témoignage se recoupe avec celui d’un second témoin, le dénommé J.________ (jgt., p. 6). Or, ces deux personnes n’avaient aucun intérêt à dénoncer faussement le prévenu. De plus, l’épouse de l’appelant a déclaré que c’était son mari qui utilisait habituellement la camionnette pendant la période des faits (PV aud. 4). Sur le vu de ce qui précède, le prévenu ne saurait être suivi dans ses dénégations. En particulier, ses explications selon lesquelles les auteurs du vol seraient en réalité son beau-fils et le dénommé, H.________, ne sont pas crédibles. A cet égard, il est rappelé que la police, malgré les recherches entreprises, n’a pas été en mesure de retrouver ces personnes. Au demeurant, l’appelant, qui qualifiait déjà sa condamnation de 2005 d’erreur judiciaire, est coutumier d’un système de défense consistant à se présenter comme une victime du système judiciaire suisse. Sur la base des éléments qui précèdent, il n’y a aucun doute quant à la culpabilité de X.________. Sa condamnation pour vol doit dès lors être confirmée.</w:t>
      </w:r>
    </w:p>
    <w:p>
      <w:r>
        <w:rPr>
          <w:b/>
        </w:rPr>
        <w:t>E. 4</w:t>
      </w:r>
    </w:p>
    <w:p>
      <w:r>
        <w:t>Il reste à examiner la question de la peine à infliger au prévenu.</w:t>
      </w:r>
    </w:p>
    <w:p>
      <w:r>
        <w:rPr>
          <w:b/>
        </w:rPr>
        <w:t>E. 4.1.1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L’art. 41 al. 1 CP prévoit deux conditions cumulatives. Il faut tout d’abord que les conditions du sursis à l’exécution de la peine ne soient pas réunies. Il en va ainsi, conformément à l’art. 42 CP, lorsqu’une peine ferme apparaît nécessaire pour détourner l’auteur d’autres crimes ou délits. La deuxième condition reflète la subsidiarité de la peine privative de liberté (Dupuis et alii, Petit commentaire, Code de procédure pénale, Bâle 2012, nn. 2-3 ad art. 41 CP).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TF 6B_546/2013 du 23 août 2013 c. 1.1).</w:t>
      </w:r>
    </w:p>
    <w:p>
      <w:r>
        <w:rPr>
          <w:b/>
        </w:rPr>
        <w:t>E. 4.1.2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4.2.1</w:t>
      </w:r>
    </w:p>
    <w:p>
      <w:r>
        <w:t>En l’espèce, l’appelant a déjà été condamné à une peine privative de liberté avec sursis, sans que cette peine n’ait eu un quelconque effet dissuasif. Non seulement il n’a pas pris conscience de sa faute, mais dénonce injustement autrui. Il a de surcroît menacé de déposer plainte contre le témoin C.________, qui n’a fait que dénoncer le vol à ses supérieurs. Quant au second témoin, J.________, l’appelant n’a pas hésité à le qualifier de menteur. Dans ces conditions, il faut admettre que la simple menace d’exécuter une peine ferme n’est pas suffisante pour prévenir le risque de récidive et que le pronostic à poser quant au comportement futur de l’intéressé est défavorable. La première condition posée à l’art. 41 al. 1 CP est ainsi réalisée. Une peine moins incisive, telle que le prononcé d’une peine pécuniaire ou d’un travail d’intérêt général, n’est en outre pas de nature à garantir suffisamment à l’Etat l’exercice de son droit de répression. Tout d’abord, un travail d’intérêt général – qui n’est au demeurant pas revendiqué par le prévenu – ne pourra manifestement pas être exécuté concrètement : l’appelant se définit en effet comme un malade chronique et une procédure AI est actuellement en cours. Ensuite, dans la mesure où une précédente peine plus incisive n’a pas eu les effets escomptés, l’efficacité préventive d’une peine pécuniaire doit être niée. La deuxième condition posée à l’art. 41 al. 1 CP est ainsi également réalisée. Une privation de liberté de courte durée est dès lors justifiée dans le cas d’espèce.</w:t>
      </w:r>
    </w:p>
    <w:p>
      <w:r>
        <w:rPr>
          <w:b/>
        </w:rPr>
        <w:t>E. 4.2.2</w:t>
      </w:r>
    </w:p>
    <w:p>
      <w:r>
        <w:t>S’agissant de la quotité de cette peine, la culpabilité de X.________ ne doit pas être minimisée. Le vol porte sur six dins à 224 fr. l’unité, ce qui chiffre le dommage de 1'334 francs. Il ne s’agit dès lors pas d’un larcin. A cela, s’ajoute l’attitude détestable de l’appelant en cours de procédure qui va de la dénonciation sans fondement de proches aux menaces d’intimidation d’un témoin à charge. Tous ces éléments relèvent d’une bassesse de caractère chez le prévenu, qui n’a pas cessé de mettre en avant son prétendu statut de victime pour s’économiser une prise de conscience. Enfin, contrairement à ce qu’a retenu le premier juge, il n’y a aucun élément à décharge, l’écoulement du temps depuis la commission de l’infraction étant d’une durée très inférieure aux réquisits de l’art. 48 let. e CP. Sur la base des éléments qui précédent, la peine privative de liberté ferme de deux mois prononcée en première instance est adéquate et doit être confirmée.</w:t>
      </w:r>
    </w:p>
    <w:p>
      <w:r>
        <w:rPr>
          <w:b/>
        </w:rPr>
        <w:t>E. 5</w:t>
      </w:r>
    </w:p>
    <w:p>
      <w:r>
        <w:t>En définitive, l’appel de X.________ doit être rejeté et le jugement entrepris entièrement confirmé.</w:t>
      </w:r>
    </w:p>
    <w:p>
      <w:r>
        <w:rPr>
          <w:b/>
        </w:rPr>
        <w:t>E. 6</w:t>
      </w:r>
    </w:p>
    <w:p>
      <w:r>
        <w:t>Vu l’issue de la cause, les frais de la présente procédure, constitués du seul émolument d’arrêt, par 1’170 fr., doivent être mis à la charge de l’appelant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