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334 vom 18. März 2014</w:t>
      </w:r>
    </w:p>
    <w:p>
      <w:r>
        <w:t>VD Tribunal cantonal, 2014-03-18, FR</w:t>
      </w:r>
    </w:p>
    <w:p>
      <w:r>
        <w:rPr>
          <w:b/>
        </w:rPr>
        <w:t xml:space="preserve">Quelle: </w:t>
      </w:r>
      <w:r>
        <w:t>https://mcp.opencaselaw.ch/entscheid/vd_findinfo_Jug___2014___334</w:t>
      </w:r>
    </w:p>
    <w:p>
      <w:r>
        <w:t>FR: VD_FINDINFO Jug / 2014 / 334 du 18 mars 2014</w:t>
      </w:r>
    </w:p>
    <w:p>
      <w:r>
        <w:t>IT: VD_FINDINFO Jug / 2014 / 334 del 18 marzo 2014</w:t>
      </w:r>
    </w:p>
    <w:p>
      <w:pPr>
        <w:pStyle w:val="Heading2"/>
      </w:pPr>
      <w:r>
        <w:t>Regeste</w:t>
      </w:r>
    </w:p>
    <w:p>
      <w:r>
        <w:t>LÉSION CORPORELLE SIMPLE | 123 ch. 1 al.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la qualification des faits par les premiers juges respectivement leur appréciation. Niant au demeurant que le plaignant ait subi une atteinte à la santé, il fait expressément valoir que la blessure, soit la dermabrasion, constatée sur la personne de l’intimé ne serait constitutive que de voies de fait, et non de lésions corporelles simples (mémoire, p. 5, 1 er par.). Or, poursuit-il, il n’aurait, tout au plus, agi que par négligence. Les voies de fait par négligence n’étant pas punissables pénalement, il en déduit qu’aucune peine ne saurait être prononcée à son égard (mémoire, p. 6, 1 er par.). Il se prévaut au surplus de la légitime défense, avérée, respectivement à tout le moins putative (mémoire, pp. 5 s.).</w:t>
      </w:r>
    </w:p>
    <w:p>
      <w:r>
        <w:rPr>
          <w:b/>
        </w:rPr>
        <w:t>E. 4</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ATF 119 IV 25 c. 2a p. 26; ATF 107 IV 40 c. 5c p. 42; ATF 103 IV 65 c. 2c p. 70).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 1.2; ATF 119 IV 25 c. 2a p. 26; ATF 117 IV 14 c. 2a pp. 15 ss).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119 IV 25 c. 2a pp. 26 s.). La question peut parfois être résolue de manière satisfaisante par l'application de l'art. 123 ch. 1 al. 2 CP, qui permet une atténuation libre de la peine dans les cas de peu de gravité (cf. ATF 134 IV 189 c. 1.3; ATF 119 IV 25 c.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 2a p. 27 et les arrêts cités). Ainsi, l'art. 123 CP protège non seulement l'intégrité corporelle et la santé physique, mais aussi la santé psychique (ATF 119 IV 25 c. 2a p. 26).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 1.4).</w:t>
      </w:r>
    </w:p>
    <w:p>
      <w:r>
        <w:rPr>
          <w:b/>
        </w:rPr>
        <w:t>E. 5</w:t>
      </w:r>
    </w:p>
    <w:p>
      <w:r>
        <w:t>En l’espèce, les deux hématomes et contusions sur les faces antérieures des épaules de l’intimé, de même que la dermabraison constatée sur le cou, ne peuvent pas avoir été provoqués par la bousculade consécutive au désaccord des parties quant à la possession du journal. Les lésions sont en lien avec la prise d’étranglement, décrite par le gardien [...] dans son compte-rendu écrit. Il s’agit certes d’un cas limite, comme l’a au demeurant retenu le premier juge. Il convient néanmoins de tenir compte non seulement de ces traces, mais également du fait qu’une prise d’étranglement est de nature à effrayer et à provoquer un sentiment de panique, dès lors que la victime d’une telle prise est totalement soumise à la volonté de son agresseur, qui en l’espèce, venait d’exprimer son mépris au plaignant en raison de sa condamnation pour des actes de pédophilie. Vu les circonstances et la douleur subie, cet acte a occasionné à la victime plus qu’un trouble passager et sans importance à son sentiment de bien-être. Cette prise a du reste laissé subsister des traces physiques constatées le surlendemain des faits encore. L’élément constitutif objectif de l’infraction réprimée par l’art. 123 ch. 1 al. 1 CP est donc réalisé. L’appelant ayant agi avec conscience et volonté, il s’est rendu coupable de lésions corporelles simples. Le premier juge a exclu la légitime défense, dès lors que le prévenu n’avait aucun motif de maintenir le plaignant par le cou jusqu’à l’arrivée des gardiens et même au-delà, et ceci même s’il fallait calmer M.________, selon la version des faits du prévenu. On ne peut que partager ce point de vue. Au demeurant, ce n’est pas l’appelant qui était blessé avant cette prise, mais l’intimé, qui avait la lèvre en sang. La condamnation de l’appelant doit donc être confirmée. Vérifiée d’office, la peine est adéquate à l’aune de l’art. 47 CP.</w:t>
      </w:r>
    </w:p>
    <w:p>
      <w:r>
        <w:rPr>
          <w:b/>
        </w:rPr>
        <w:t>E. 6</w:t>
      </w:r>
    </w:p>
    <w:p>
      <w:r>
        <w:t>L’appelant conclut en outre à l’allocation d’une «indemnité symbolique» de 200 fr. en application de l’art. 429 al. 1 let. c CPP, en faisant valoir qu’il aurait été «soupçonné à tort». Il suffit de relever que la condamnation du prévenu exclut toute réparation selon la norme invoquée nonobstant sa libération partielle, s’agissant d’un même complexe de faits incriminés. En outre, il n’a, à l’évidence subi aucune atteinte particulièrement grave à sa personnalité du fait de la procédure au sens de cette disposition. Quant aux frais de première instance, ils ont intégralement été mis à la charge du prévenu nonobstant sa libération partielle. Aucune opération d’enquête n’est liée qu’aux infractions dont il a été libéré, s’agissant, à cet égard encore, d’un unique complexe de faits incriminés. En outre, son comportement, à tout le moins civilement illicite et fautif au sens de l’art. 426 al. 2 CPP, a donné lieu à l’enquête même pour ce qui est des actes à raison desquels il a été libéré (cf. notamment TF 6B_1008/2013 du 27 mars 2014 c. 1.2; TF 6B_87/2012 du 27 avril 2012 c. 1.2). Ainsi, il y a lieu de mettre l’entier des frais de première instance à sa charge selon l’art. 426 al. 1, 1 re phrase, CPP.</w:t>
      </w:r>
    </w:p>
    <w:p>
      <w:r>
        <w:rPr>
          <w:b/>
        </w:rPr>
        <w:t>E. 7</w:t>
      </w:r>
    </w:p>
    <w:p>
      <w:r>
        <w:t>Les frais de la procédure d'appel sont mis entièrement à la charge du prévenu qui succombe (art. 428 al. 1 CPP). Outre l'émolument, ces frais comprennent l’indemnité allouée au défenseur d’office du prévenu et celle octroyée au conseil d’office de l’intimé, pour les opérations liées à la procédure d'appel (cf. les art. 135 al. 2 et 422 al. 2 let. a CPP; art. 2 al. 2 ch. 1 TFIP). Vu l'ampleur et la complexité de la cause en appel, l'indemnité allouée au défenseur d'office du prévenu doit être fixée sur la base d'une durée d'activité de neuf heures d’avocat breveté, à 180 fr. l'heure, plus une unité de débours à 120 fr. au titre des frais de vacation (y compris pour l’audience d’appel), soit à 1'740 fr., TVA en sus (art. 135 al. 1 CPP), soit à un total de 1'879 fr. 20. Pour sa part, l’indemnité allouée au conseil d’office de l’intimé doit être arrêtée sur la base de sept heures d’activité d’avocat breveté à 180 fr. l’heure, en sus de 120 fr. de frais de vacation et de 50 fr. d’autres débours, soit à 1'430 fr., TVA en sus, soit à un total de 1'544 fr. 40. Le prévenu ne sera tenu de rembourser à l’Etat le montant des indemnités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