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330 vom 7. September 2012</w:t>
      </w:r>
    </w:p>
    <w:p>
      <w:r>
        <w:t>VD Tribunal cantonal, 2012-09-07, FR</w:t>
      </w:r>
    </w:p>
    <w:p>
      <w:r>
        <w:rPr>
          <w:b/>
        </w:rPr>
        <w:t xml:space="preserve">Quelle: </w:t>
      </w:r>
      <w:r>
        <w:t>https://mcp.opencaselaw.ch/entscheid/vd_findinfo_Jug___2014___330</w:t>
      </w:r>
    </w:p>
    <w:p>
      <w:r>
        <w:t>FR: VD_FINDINFO Jug / 2014 / 330 du 7 septembre 2012</w:t>
      </w:r>
    </w:p>
    <w:p>
      <w:r>
        <w:t>IT: VD_FINDINFO Jug / 2014 / 330 del 7 settembre 2012</w:t>
      </w:r>
    </w:p>
    <w:p>
      <w:pPr>
        <w:pStyle w:val="Heading2"/>
      </w:pPr>
      <w:r>
        <w:t>Regeste</w:t>
      </w:r>
    </w:p>
    <w:p>
      <w:r>
        <w:t>DEMANDE ADRESSÉE À L'AUTORITÉ, RÉVISION{DÉCISION}, DÉCISION D'IRRECEVABILITÉ | 410 al. 1 let. a CPP (CH), 411 CPP (CH), 412 al. 2 CPP (CH)</w:t>
      </w:r>
    </w:p>
    <w:p>
      <w:pPr>
        <w:pStyle w:val="Heading2"/>
      </w:pPr>
      <w:r>
        <w:t>Erwägungen</w:t>
      </w:r>
    </w:p>
    <w:p>
      <w:r>
        <w:rPr>
          <w:b/>
        </w:rPr>
        <w:t>E. 1.1.1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137 IV 59 c. 5.1.2 pp. 66 s; ATF 130 IV 72 c. 1; TF 6B_310/2011 c. 1.2).</w:t>
      </w:r>
    </w:p>
    <w:p>
      <w:r>
        <w:rPr>
          <w:b/>
        </w:rPr>
        <w:t>E. 1.1.2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édition, Schulthess § 2011, n. 2092, p. 679; Niggli/Wiprächtiger, Basler Kommentar, Schweizerische Strafprozessordnung Jungenstrafprozessordnung, Bâle 2011, n. 6 ad art. 411 CPP, p. 2731).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1.1.3</w:t>
      </w:r>
    </w:p>
    <w:p>
      <w:r>
        <w:t>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(ATF 130 IV 72 consid. 2.2). Cette jurisprudence s’applique aussi à une procédure de révision régie par le CPP (TF 6B_310/2011 du 20 juin 2011).</w:t>
      </w:r>
    </w:p>
    <w:p>
      <w:r>
        <w:rPr>
          <w:b/>
        </w:rPr>
        <w:t>E. 1.2</w:t>
      </w:r>
    </w:p>
    <w:p>
      <w:r>
        <w:t>En l’espèce, N.________ produit avec sa requête du 25 juillet 2014 les témoignages de deux personnes qui l’accompagnaient le jour des faits. Il fait notamment valoir qu’à l’époque il n’était pas en mesure de donner le nom de ces deux personnes, car elles étaient sans statut légal dans notre pays. Ces dernières ayant désormais quitté la Suisse, il peut désormais donner leurs noms et leurs témoignages. Le moyen invoqué par N.________ ne constitue nullement un élément de fait inconnu au sens de l'art. 410 al. 1 let. a CPP, lequel serait nouvellement parvenu à la connaissance du requérant. En effet, ce dernier a choisi de taire ces témoignages afin de protéger une infraction. Il aurait dû les révéler lors de l’instruction ou dans le cadre d’une procédure d’opposition à l’ordonnance pénale du 7 septembre 2012. Partant, la demande de révision est abusive, car elle repose sur des faits que N.________ connaissait initialement. En outre, le requérant fait également valoir que la serveuse, dont le témoignage a été déterminant, était l’amie de la victime. Là encore, N.________ se fonde sur les témoignages de personnes dont il a volontairement tu les noms, de sorte que ce moyen est également irrecevable. Pour le surplus, le Ministère public a déjà pris en compte les dénégations de N.________ et retenu sa culpabilité sur la base de dépositions de personnes appelées à donner des renseignements et de témoins. Force est ainsi de constater que les témoignages produits par le requérant ne contiennent aucun fait nouveau ou sérieux susceptible remettre en cause l’appréciation déjà effectuée des preuves.</w:t>
      </w:r>
    </w:p>
    <w:p>
      <w:r>
        <w:rPr>
          <w:b/>
        </w:rPr>
        <w:t>E. 2</w:t>
      </w:r>
    </w:p>
    <w:p>
      <w:r>
        <w:t>Sur le vu de ce qui précède, il ne sera pas entré en matière sur la demande de révision présentée par N.________ en vertu de l’art. 412 al. 2 CPP. Vu l'issue de la cause, les frais de révision, par 550 fr. (art. 21 TFIP [Tarif des frais de procédure et indemnités en matière pénale du 28 septembre 2010, RSV 312.03.1], par renvoi de l'art. 22 TFIP) sont mis à la charge de N.________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